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煤矿重大事故隐患判定标准</w:t>
      </w: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lang w:val="en-US" w:eastAsia="zh-CN"/>
        </w:rPr>
        <w:t>最新注解版</w:t>
      </w:r>
      <w:r>
        <w:rPr>
          <w:rFonts w:hint="eastAsia" w:ascii="黑体" w:hAnsi="黑体" w:eastAsia="黑体" w:cs="黑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sz w:val="44"/>
          <w:szCs w:val="44"/>
          <w:lang w:val="en-US" w:eastAsia="zh-CN"/>
        </w:rPr>
      </w:pPr>
      <w:bookmarkStart w:id="0" w:name="_GoBack"/>
      <w:r>
        <w:rPr>
          <w:rFonts w:hint="eastAsia" w:ascii="黑体" w:hAnsi="黑体" w:eastAsia="黑体" w:cs="黑体"/>
          <w:b w:val="0"/>
          <w:bCs w:val="0"/>
          <w:sz w:val="44"/>
          <w:szCs w:val="44"/>
          <w:lang w:val="en-US" w:eastAsia="zh-CN"/>
        </w:rPr>
        <w:t>2021年1月1日实施</w:t>
      </w:r>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第一条  为了准确认定、及时消除煤矿重大事故隐患，根据《中华人民共和国安全生产法》和《国务院关于预防煤矿生产安全事故的特别规定》（国务院令第446号）等法律、行政法规，制定本标准。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第二条  本标准适用于判定各类煤矿重大事故隐患。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第三条  煤矿重大事故隐患包括下列15个方面：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（一）超能力、超强度或者超定员组织生产；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（二）瓦斯超限作业；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（三）煤与瓦斯突出矿井，未依照规定实施防突出措施；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（四）高瓦斯矿井未建立瓦斯抽采系统和监控系统，或者系统不能正常运行；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（五）通风系统不完善、不可靠；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（六）有严重水患，未采取有效措施；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（七）超层越界开采；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（八）有冲击地压危险，未采取有效措施；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（九）自然发火严重，未采取有效措施；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（十）使用明令禁止使用或者淘汰的设备、工艺；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（十一）煤矿没有双回路供电系统；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（十二）新建煤矿边建设边生产，煤矿改扩建期间，在改扩建的区域生产，或者在其他区域的生产超出安全设施设计规定的范围和规模；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（十三）煤矿实行整体承包生产经营后，未重新取得或者及时变更安全生产许可证而从事生产，或者承包方再次转包，以及将井下采掘工作面和井巷维修作业进行劳务承包；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（十四）煤矿改制期间，未明确安全生产责任人和安全管理机构，或者在完成改制后，未重新取得或者变更采矿许可证、安全生产许可证和营业执照；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（十五）其他重大事故隐患。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第四条  “超能力、超强度或者超定员组织生产”重大事故隐患，是指有下列情形之一的：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w:t>
      </w:r>
      <w:r>
        <w:rPr>
          <w:rFonts w:hint="eastAsia" w:ascii="仿宋" w:hAnsi="仿宋" w:eastAsia="仿宋" w:cs="仿宋"/>
          <w:b w:val="0"/>
          <w:bCs w:val="0"/>
          <w:sz w:val="32"/>
          <w:szCs w:val="32"/>
          <w:u w:val="single"/>
        </w:rPr>
        <w:t>煤矿</w:t>
      </w:r>
      <w:r>
        <w:rPr>
          <w:rFonts w:hint="eastAsia" w:ascii="仿宋" w:hAnsi="仿宋" w:eastAsia="仿宋" w:cs="仿宋"/>
          <w:sz w:val="32"/>
          <w:szCs w:val="32"/>
        </w:rPr>
        <w:t>全年原煤产量超过核定（设计）生产能力</w:t>
      </w:r>
      <w:r>
        <w:rPr>
          <w:rFonts w:hint="eastAsia" w:ascii="仿宋" w:hAnsi="仿宋" w:eastAsia="仿宋" w:cs="仿宋"/>
          <w:color w:val="auto"/>
          <w:sz w:val="32"/>
          <w:szCs w:val="32"/>
          <w:u w:val="single"/>
        </w:rPr>
        <w:t>幅度在10%以上，</w:t>
      </w:r>
      <w:r>
        <w:rPr>
          <w:rFonts w:hint="eastAsia" w:ascii="仿宋" w:hAnsi="仿宋" w:eastAsia="仿宋" w:cs="仿宋"/>
          <w:sz w:val="32"/>
          <w:szCs w:val="32"/>
        </w:rPr>
        <w:t>或者月原煤产量大于核定（设计）生产能力的10%的；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rPr>
        <w:t>　　</w:t>
      </w:r>
      <w:r>
        <w:rPr>
          <w:rFonts w:hint="eastAsia" w:ascii="仿宋" w:hAnsi="仿宋" w:eastAsia="仿宋" w:cs="仿宋"/>
          <w:sz w:val="32"/>
          <w:szCs w:val="32"/>
          <w:u w:val="single"/>
        </w:rPr>
        <w:t>（二）煤矿或其上级公司超过煤矿核定（设计）生产能力下达生产计划或者经营指标的；</w:t>
      </w:r>
      <w:r>
        <w:rPr>
          <w:rFonts w:hint="eastAsia" w:ascii="仿宋" w:hAnsi="仿宋" w:eastAsia="仿宋" w:cs="仿宋"/>
          <w:sz w:val="32"/>
          <w:szCs w:val="32"/>
          <w:u w:val="single"/>
          <w:lang w:eastAsia="zh-CN"/>
        </w:rPr>
        <w:t>（增加）</w:t>
      </w:r>
    </w:p>
    <w:p>
      <w:pPr>
        <w:widowControl/>
        <w:ind w:firstLine="640" w:firstLineChars="200"/>
        <w:jc w:val="left"/>
        <w:textAlignment w:val="center"/>
        <w:rPr>
          <w:rFonts w:hint="eastAsia" w:ascii="仿宋" w:hAnsi="仿宋" w:eastAsia="仿宋" w:cs="仿宋"/>
          <w:sz w:val="32"/>
          <w:szCs w:val="32"/>
          <w:u w:val="single"/>
        </w:rPr>
      </w:pPr>
      <w:r>
        <w:rPr>
          <w:rFonts w:hint="eastAsia" w:ascii="仿宋" w:hAnsi="仿宋" w:eastAsia="仿宋" w:cs="仿宋"/>
          <w:sz w:val="32"/>
          <w:szCs w:val="32"/>
        </w:rPr>
        <w:t>（三）</w:t>
      </w:r>
      <w:r>
        <w:rPr>
          <w:rFonts w:hint="eastAsia" w:ascii="仿宋" w:hAnsi="仿宋" w:eastAsia="仿宋" w:cs="仿宋"/>
          <w:sz w:val="32"/>
          <w:szCs w:val="32"/>
          <w:u w:val="single"/>
        </w:rPr>
        <w:t>煤矿</w:t>
      </w:r>
      <w:r>
        <w:rPr>
          <w:rFonts w:hint="eastAsia" w:ascii="仿宋" w:hAnsi="仿宋" w:eastAsia="仿宋" w:cs="仿宋"/>
          <w:sz w:val="32"/>
          <w:szCs w:val="32"/>
        </w:rPr>
        <w:t>开拓、准备、回采煤量可采期小于国家规定的最短时间，</w:t>
      </w:r>
      <w:r>
        <w:rPr>
          <w:rFonts w:hint="eastAsia" w:ascii="仿宋" w:hAnsi="仿宋" w:eastAsia="仿宋" w:cs="仿宋"/>
          <w:sz w:val="32"/>
          <w:szCs w:val="32"/>
          <w:u w:val="single"/>
        </w:rPr>
        <w:t>未主动采取限产或者停产措施，</w:t>
      </w:r>
      <w:r>
        <w:rPr>
          <w:rFonts w:hint="eastAsia" w:ascii="仿宋" w:hAnsi="仿宋" w:eastAsia="仿宋" w:cs="仿宋"/>
          <w:sz w:val="32"/>
          <w:szCs w:val="32"/>
          <w:u w:val="none"/>
        </w:rPr>
        <w:t>仍然</w:t>
      </w:r>
      <w:r>
        <w:rPr>
          <w:rFonts w:hint="eastAsia" w:ascii="仿宋" w:hAnsi="仿宋" w:eastAsia="仿宋" w:cs="仿宋"/>
          <w:sz w:val="32"/>
          <w:szCs w:val="32"/>
          <w:u w:val="single"/>
        </w:rPr>
        <w:t>组织生产的（衰老煤矿和地方人民政府计划停产关闭煤矿除外）；</w:t>
      </w:r>
    </w:p>
    <w:p>
      <w:pPr>
        <w:widowControl/>
        <w:ind w:firstLine="211" w:firstLineChars="100"/>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《防范煤矿采掘接续紧张暂行办法》煤安监技装〔2018〕23号  第三条 矿井开拓煤量可采期应当符合下列规定：</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（一）煤与瓦斯突出矿井、水文地质类型极复杂矿井、冲击地压矿井不得少于5年；</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（二）高瓦斯矿井、水文地质类型复杂矿井不得少于4年；</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（三）其它矿井不得少于3年。</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矿井准备煤量可采期应当符合下列规定：</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（一）水文地质条件复杂和极复杂矿井、煤与瓦斯突出矿井、冲击地压矿井、煤巷掘进机械化程度与综合机械化采煤程度的比值小于0.7的矿井不得少于14个月；</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（二）其它矿井不得少于12个月。</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矿井回采煤量可采期应当符合下列规定：</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（一）2个及以上采煤工作面同时生产的矿井不得少于5个月；</w:t>
      </w:r>
    </w:p>
    <w:p>
      <w:pPr>
        <w:widowControl/>
        <w:jc w:val="left"/>
        <w:textAlignment w:val="center"/>
        <w:rPr>
          <w:rFonts w:hint="eastAsia" w:ascii="Times New Roman" w:hAnsi="宋体"/>
          <w:b/>
          <w:bCs w:val="0"/>
          <w:color w:val="FF0000"/>
          <w:kern w:val="0"/>
          <w:sz w:val="21"/>
          <w:szCs w:val="21"/>
          <w:lang w:val="en-US" w:eastAsia="zh-CN"/>
        </w:rPr>
      </w:pPr>
      <w:r>
        <w:rPr>
          <w:rFonts w:hint="eastAsia" w:ascii="Times New Roman" w:hAnsi="宋体"/>
          <w:b/>
          <w:bCs w:val="0"/>
          <w:color w:val="FF0000"/>
          <w:kern w:val="0"/>
          <w:sz w:val="21"/>
          <w:szCs w:val="21"/>
          <w:lang w:val="en-US" w:eastAsia="zh-CN"/>
        </w:rPr>
        <w:t>（二）其它矿井不得少于4个月。</w:t>
      </w:r>
    </w:p>
    <w:p>
      <w:pPr>
        <w:pStyle w:val="6"/>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Times New Roman" w:hAnsi="宋体" w:eastAsiaTheme="minorEastAsia" w:cstheme="minorBidi"/>
          <w:b/>
          <w:bCs w:val="0"/>
          <w:color w:val="FF0000"/>
          <w:kern w:val="0"/>
          <w:sz w:val="21"/>
          <w:szCs w:val="21"/>
          <w:lang w:val="en-US" w:eastAsia="zh-CN" w:bidi="ar-SA"/>
        </w:rPr>
      </w:pPr>
      <w:r>
        <w:rPr>
          <w:rFonts w:hint="eastAsia" w:ascii="仿宋" w:hAnsi="仿宋" w:eastAsia="仿宋" w:cs="仿宋"/>
          <w:sz w:val="32"/>
          <w:szCs w:val="32"/>
          <w:u w:val="single"/>
        </w:rPr>
        <w:t>（四） 煤矿井下同时生产的水平超过2个，或者一个采（盘）区内同时作业的采煤、煤（半煤岩）巷掘进工作面个数超过《煤矿安全规程》规定的；</w:t>
      </w:r>
      <w:r>
        <w:rPr>
          <w:rFonts w:hint="eastAsia" w:ascii="仿宋" w:hAnsi="仿宋" w:eastAsia="仿宋" w:cs="仿宋"/>
          <w:sz w:val="32"/>
          <w:szCs w:val="32"/>
          <w:u w:val="single"/>
          <w:lang w:eastAsia="zh-CN"/>
        </w:rPr>
        <w:t>（增加）</w:t>
      </w:r>
      <w:r>
        <w:rPr>
          <w:rFonts w:hint="eastAsia" w:ascii="Times New Roman" w:hAnsi="宋体" w:eastAsiaTheme="minorEastAsia" w:cstheme="minorBidi"/>
          <w:b/>
          <w:bCs w:val="0"/>
          <w:color w:val="FF0000"/>
          <w:kern w:val="0"/>
          <w:sz w:val="21"/>
          <w:szCs w:val="21"/>
          <w:lang w:val="en-US" w:eastAsia="zh-CN" w:bidi="ar-SA"/>
        </w:rPr>
        <w:t>第九十五条 一个采(盘)区内同一煤层的一翼最多只能布置１个采煤工作面和２个煤(半煤岩)巷掘进工作面同时作业。一个采(盘)区内同一煤层双翼开采或者多煤层开采的,该采(盘)区最多只能布置２个采煤工作面和４个煤(半煤岩)巷掘进工作面同时作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　　</w:t>
      </w:r>
      <w:r>
        <w:rPr>
          <w:rFonts w:hint="eastAsia" w:ascii="仿宋" w:hAnsi="仿宋" w:eastAsia="仿宋" w:cs="仿宋"/>
          <w:sz w:val="32"/>
          <w:szCs w:val="32"/>
          <w:u w:val="none"/>
        </w:rPr>
        <w:t>（五）瓦斯抽采不达标组织生产的；</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仿宋" w:hAnsi="仿宋" w:eastAsia="仿宋" w:cs="仿宋"/>
          <w:sz w:val="32"/>
          <w:szCs w:val="32"/>
        </w:rPr>
        <w:t>（六）煤矿未制定或者未严格执行井下</w:t>
      </w:r>
      <w:r>
        <w:rPr>
          <w:rFonts w:hint="eastAsia" w:ascii="仿宋" w:hAnsi="仿宋" w:eastAsia="仿宋" w:cs="仿宋"/>
          <w:sz w:val="32"/>
          <w:szCs w:val="32"/>
          <w:u w:val="none"/>
        </w:rPr>
        <w:t>劳动定员制度，</w:t>
      </w:r>
      <w:r>
        <w:rPr>
          <w:rFonts w:hint="eastAsia" w:ascii="仿宋" w:hAnsi="仿宋" w:eastAsia="仿宋" w:cs="仿宋"/>
          <w:sz w:val="32"/>
          <w:szCs w:val="32"/>
          <w:u w:val="single"/>
        </w:rPr>
        <w:t>或者采掘作业地点单班作业人数超过国家有关限员规定20%以上的。</w:t>
      </w:r>
      <w:r>
        <w:rPr>
          <w:rFonts w:hint="eastAsia" w:ascii="Times New Roman" w:hAnsi="Times New Roman" w:eastAsia="方正仿宋_GBK"/>
          <w:b/>
          <w:bCs w:val="0"/>
          <w:color w:val="FF0000"/>
          <w:kern w:val="0"/>
          <w:sz w:val="21"/>
          <w:szCs w:val="21"/>
          <w:lang w:val="en-US" w:eastAsia="zh-CN"/>
        </w:rPr>
        <w:t>《煤矿井下单班作业人数限员规定（试行）》煤安监行管﹝2018﹞38号</w:t>
      </w:r>
    </w:p>
    <w:p>
      <w:pPr>
        <w:ind w:firstLine="640"/>
        <w:jc w:val="left"/>
        <w:rPr>
          <w:rFonts w:ascii="Times New Roman" w:hAnsi="Times New Roman" w:eastAsia="方正仿宋_GBK"/>
          <w:b/>
          <w:bCs w:val="0"/>
          <w:color w:val="FF0000"/>
          <w:kern w:val="0"/>
          <w:sz w:val="21"/>
          <w:szCs w:val="21"/>
        </w:rPr>
      </w:pPr>
      <w:r>
        <w:rPr>
          <w:rFonts w:hint="eastAsia" w:ascii="Times New Roman" w:hAnsi="黑体" w:eastAsia="黑体"/>
          <w:b/>
          <w:bCs w:val="0"/>
          <w:color w:val="FF0000"/>
          <w:kern w:val="0"/>
          <w:sz w:val="21"/>
          <w:szCs w:val="21"/>
        </w:rPr>
        <w:t>第五条</w:t>
      </w:r>
      <w:r>
        <w:rPr>
          <w:rFonts w:ascii="Times New Roman" w:hAnsi="Times New Roman" w:eastAsia="方正仿宋_GBK"/>
          <w:b/>
          <w:bCs w:val="0"/>
          <w:color w:val="FF0000"/>
          <w:kern w:val="0"/>
          <w:sz w:val="21"/>
          <w:szCs w:val="21"/>
        </w:rPr>
        <w:t xml:space="preserve">  </w:t>
      </w:r>
      <w:r>
        <w:rPr>
          <w:rFonts w:hint="eastAsia" w:ascii="Times New Roman" w:hAnsi="Times New Roman" w:eastAsia="方正仿宋_GBK"/>
          <w:b/>
          <w:bCs w:val="0"/>
          <w:color w:val="FF0000"/>
          <w:kern w:val="0"/>
          <w:sz w:val="21"/>
          <w:szCs w:val="21"/>
        </w:rPr>
        <w:t>采煤工作面单班作业人数应符合以下规定：</w:t>
      </w:r>
    </w:p>
    <w:tbl>
      <w:tblPr>
        <w:tblStyle w:val="7"/>
        <w:tblW w:w="7008"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755"/>
        <w:gridCol w:w="1753"/>
        <w:gridCol w:w="1751"/>
        <w:gridCol w:w="1749"/>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276" w:hRule="exact"/>
          <w:jc w:val="center"/>
        </w:trPr>
        <w:tc>
          <w:tcPr>
            <w:tcW w:w="1755" w:type="dxa"/>
            <w:vMerge w:val="restart"/>
            <w:tcMar>
              <w:top w:w="15" w:type="dxa"/>
              <w:left w:w="15" w:type="dxa"/>
              <w:bottom w:w="15" w:type="dxa"/>
              <w:right w:w="15" w:type="dxa"/>
            </w:tcMar>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矿井类型</w:t>
            </w:r>
          </w:p>
        </w:tc>
        <w:tc>
          <w:tcPr>
            <w:tcW w:w="3504" w:type="dxa"/>
            <w:gridSpan w:val="2"/>
            <w:tcMar>
              <w:top w:w="15" w:type="dxa"/>
              <w:left w:w="15" w:type="dxa"/>
              <w:bottom w:w="15" w:type="dxa"/>
              <w:right w:w="15" w:type="dxa"/>
            </w:tcMar>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机械化采煤工作面（人）</w:t>
            </w:r>
          </w:p>
        </w:tc>
        <w:tc>
          <w:tcPr>
            <w:tcW w:w="1749" w:type="dxa"/>
            <w:vMerge w:val="restart"/>
            <w:tcMar>
              <w:top w:w="15" w:type="dxa"/>
              <w:left w:w="15" w:type="dxa"/>
              <w:bottom w:w="15" w:type="dxa"/>
              <w:right w:w="15" w:type="dxa"/>
            </w:tcMar>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炮采工作面（人）</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07" w:hRule="exact"/>
          <w:jc w:val="center"/>
        </w:trPr>
        <w:tc>
          <w:tcPr>
            <w:tcW w:w="1755" w:type="dxa"/>
            <w:vMerge w:val="continue"/>
            <w:tcMar>
              <w:top w:w="15" w:type="dxa"/>
              <w:left w:w="15" w:type="dxa"/>
              <w:bottom w:w="15" w:type="dxa"/>
              <w:right w:w="15" w:type="dxa"/>
            </w:tcMar>
            <w:vAlign w:val="center"/>
          </w:tcPr>
          <w:p>
            <w:pPr>
              <w:widowControl/>
              <w:jc w:val="center"/>
              <w:textAlignment w:val="center"/>
              <w:rPr>
                <w:rFonts w:ascii="Times New Roman" w:hAnsi="Times New Roman"/>
                <w:b/>
                <w:bCs w:val="0"/>
                <w:color w:val="FF0000"/>
                <w:kern w:val="0"/>
                <w:sz w:val="21"/>
                <w:szCs w:val="21"/>
              </w:rPr>
            </w:pPr>
          </w:p>
        </w:tc>
        <w:tc>
          <w:tcPr>
            <w:tcW w:w="1753" w:type="dxa"/>
            <w:tcMar>
              <w:top w:w="15" w:type="dxa"/>
              <w:left w:w="15" w:type="dxa"/>
              <w:bottom w:w="15" w:type="dxa"/>
              <w:right w:w="15" w:type="dxa"/>
            </w:tcMar>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检修班</w:t>
            </w:r>
          </w:p>
        </w:tc>
        <w:tc>
          <w:tcPr>
            <w:tcW w:w="1751" w:type="dxa"/>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生产班</w:t>
            </w:r>
          </w:p>
        </w:tc>
        <w:tc>
          <w:tcPr>
            <w:tcW w:w="1749" w:type="dxa"/>
            <w:vMerge w:val="continue"/>
            <w:tcMar>
              <w:top w:w="15" w:type="dxa"/>
              <w:left w:w="15" w:type="dxa"/>
              <w:bottom w:w="15" w:type="dxa"/>
              <w:right w:w="15" w:type="dxa"/>
            </w:tcMar>
            <w:vAlign w:val="center"/>
          </w:tcPr>
          <w:p>
            <w:pPr>
              <w:widowControl/>
              <w:jc w:val="center"/>
              <w:textAlignment w:val="center"/>
              <w:rPr>
                <w:rFonts w:ascii="Times New Roman" w:hAnsi="Times New Roman"/>
                <w:b/>
                <w:bCs w:val="0"/>
                <w:color w:val="FF0000"/>
                <w:kern w:val="0"/>
                <w:sz w:val="21"/>
                <w:szCs w:val="21"/>
              </w:rPr>
            </w:pP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62" w:hRule="exact"/>
          <w:jc w:val="center"/>
        </w:trPr>
        <w:tc>
          <w:tcPr>
            <w:tcW w:w="1755" w:type="dxa"/>
            <w:tcMar>
              <w:top w:w="15" w:type="dxa"/>
              <w:left w:w="15" w:type="dxa"/>
              <w:bottom w:w="15" w:type="dxa"/>
              <w:right w:w="15" w:type="dxa"/>
            </w:tcMar>
            <w:vAlign w:val="center"/>
          </w:tcPr>
          <w:p>
            <w:pPr>
              <w:widowControl/>
              <w:jc w:val="center"/>
              <w:textAlignment w:val="center"/>
              <w:rPr>
                <w:rFonts w:ascii="Times New Roman" w:hAnsi="Times New Roman"/>
                <w:b/>
                <w:bCs w:val="0"/>
                <w:color w:val="FF0000"/>
                <w:kern w:val="0"/>
                <w:sz w:val="21"/>
                <w:szCs w:val="21"/>
              </w:rPr>
            </w:pPr>
            <w:r>
              <w:rPr>
                <w:rFonts w:hint="eastAsia" w:ascii="Times New Roman" w:hAnsi="宋体"/>
                <w:b/>
                <w:bCs w:val="0"/>
                <w:color w:val="FF0000"/>
                <w:kern w:val="0"/>
                <w:sz w:val="21"/>
                <w:szCs w:val="21"/>
              </w:rPr>
              <w:t>灾害严重矿井</w:t>
            </w:r>
          </w:p>
        </w:tc>
        <w:tc>
          <w:tcPr>
            <w:tcW w:w="1753" w:type="dxa"/>
            <w:tcMar>
              <w:top w:w="15" w:type="dxa"/>
              <w:left w:w="15" w:type="dxa"/>
              <w:bottom w:w="15" w:type="dxa"/>
              <w:right w:w="15" w:type="dxa"/>
            </w:tcMar>
            <w:vAlign w:val="center"/>
          </w:tcPr>
          <w:p>
            <w:pPr>
              <w:widowControl/>
              <w:jc w:val="center"/>
              <w:textAlignment w:val="center"/>
              <w:rPr>
                <w:rFonts w:ascii="宋体"/>
                <w:b/>
                <w:bCs w:val="0"/>
                <w:color w:val="FF0000"/>
                <w:kern w:val="0"/>
                <w:sz w:val="21"/>
                <w:szCs w:val="21"/>
              </w:rPr>
            </w:pPr>
            <w:r>
              <w:rPr>
                <w:rFonts w:hint="eastAsia" w:ascii="宋体" w:hAnsi="宋体"/>
                <w:b/>
                <w:bCs w:val="0"/>
                <w:color w:val="FF0000"/>
                <w:kern w:val="0"/>
                <w:sz w:val="21"/>
                <w:szCs w:val="21"/>
              </w:rPr>
              <w:t>≤</w:t>
            </w:r>
            <w:r>
              <w:rPr>
                <w:rFonts w:ascii="宋体" w:hAnsi="宋体"/>
                <w:b/>
                <w:bCs w:val="0"/>
                <w:color w:val="FF0000"/>
                <w:kern w:val="0"/>
                <w:sz w:val="21"/>
                <w:szCs w:val="21"/>
              </w:rPr>
              <w:t>40</w:t>
            </w:r>
          </w:p>
        </w:tc>
        <w:tc>
          <w:tcPr>
            <w:tcW w:w="1751" w:type="dxa"/>
            <w:vAlign w:val="center"/>
          </w:tcPr>
          <w:p>
            <w:pPr>
              <w:widowControl/>
              <w:jc w:val="center"/>
              <w:textAlignment w:val="center"/>
              <w:rPr>
                <w:rFonts w:ascii="宋体" w:hAnsi="宋体"/>
                <w:b/>
                <w:bCs w:val="0"/>
                <w:color w:val="FF0000"/>
                <w:kern w:val="0"/>
                <w:sz w:val="21"/>
                <w:szCs w:val="21"/>
              </w:rPr>
            </w:pPr>
            <w:r>
              <w:rPr>
                <w:rFonts w:hint="eastAsia" w:ascii="宋体" w:hAnsi="宋体"/>
                <w:b/>
                <w:bCs w:val="0"/>
                <w:color w:val="FF0000"/>
                <w:kern w:val="0"/>
                <w:sz w:val="21"/>
                <w:szCs w:val="21"/>
              </w:rPr>
              <w:t>≤</w:t>
            </w:r>
            <w:r>
              <w:rPr>
                <w:rFonts w:ascii="宋体" w:hAnsi="宋体"/>
                <w:b/>
                <w:bCs w:val="0"/>
                <w:color w:val="FF0000"/>
                <w:kern w:val="0"/>
                <w:sz w:val="21"/>
                <w:szCs w:val="21"/>
              </w:rPr>
              <w:t>25</w:t>
            </w:r>
          </w:p>
        </w:tc>
        <w:tc>
          <w:tcPr>
            <w:tcW w:w="1749" w:type="dxa"/>
            <w:tcMar>
              <w:top w:w="15" w:type="dxa"/>
              <w:left w:w="15" w:type="dxa"/>
              <w:bottom w:w="15" w:type="dxa"/>
              <w:right w:w="15" w:type="dxa"/>
            </w:tcMar>
            <w:vAlign w:val="center"/>
          </w:tcPr>
          <w:p>
            <w:pPr>
              <w:widowControl/>
              <w:jc w:val="center"/>
              <w:textAlignment w:val="center"/>
              <w:rPr>
                <w:rFonts w:ascii="宋体" w:hAnsi="宋体"/>
                <w:b/>
                <w:bCs w:val="0"/>
                <w:color w:val="FF0000"/>
                <w:kern w:val="0"/>
                <w:sz w:val="21"/>
                <w:szCs w:val="21"/>
              </w:rPr>
            </w:pPr>
            <w:r>
              <w:rPr>
                <w:rFonts w:hint="eastAsia" w:ascii="宋体" w:hAnsi="宋体"/>
                <w:b/>
                <w:bCs w:val="0"/>
                <w:color w:val="FF0000"/>
                <w:kern w:val="0"/>
                <w:sz w:val="21"/>
                <w:szCs w:val="21"/>
              </w:rPr>
              <w:t>≤</w:t>
            </w:r>
            <w:r>
              <w:rPr>
                <w:rFonts w:ascii="宋体" w:hAnsi="宋体"/>
                <w:b/>
                <w:bCs w:val="0"/>
                <w:color w:val="FF0000"/>
                <w:kern w:val="0"/>
                <w:sz w:val="21"/>
                <w:szCs w:val="21"/>
              </w:rPr>
              <w:t>25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82" w:hRule="exact"/>
          <w:jc w:val="center"/>
        </w:trPr>
        <w:tc>
          <w:tcPr>
            <w:tcW w:w="1755" w:type="dxa"/>
            <w:tcMar>
              <w:top w:w="15" w:type="dxa"/>
              <w:left w:w="15" w:type="dxa"/>
              <w:bottom w:w="15" w:type="dxa"/>
              <w:right w:w="15" w:type="dxa"/>
            </w:tcMar>
            <w:vAlign w:val="center"/>
          </w:tcPr>
          <w:p>
            <w:pPr>
              <w:widowControl/>
              <w:jc w:val="center"/>
              <w:textAlignment w:val="center"/>
              <w:rPr>
                <w:rFonts w:ascii="Times New Roman" w:hAnsi="Times New Roman"/>
                <w:b/>
                <w:bCs w:val="0"/>
                <w:color w:val="FF0000"/>
                <w:kern w:val="0"/>
                <w:sz w:val="21"/>
                <w:szCs w:val="21"/>
              </w:rPr>
            </w:pPr>
            <w:r>
              <w:rPr>
                <w:rFonts w:hint="eastAsia" w:ascii="Times New Roman" w:hAnsi="宋体"/>
                <w:b/>
                <w:bCs w:val="0"/>
                <w:color w:val="FF0000"/>
                <w:kern w:val="0"/>
                <w:sz w:val="21"/>
                <w:szCs w:val="21"/>
              </w:rPr>
              <w:t>其他矿井</w:t>
            </w:r>
          </w:p>
        </w:tc>
        <w:tc>
          <w:tcPr>
            <w:tcW w:w="1753" w:type="dxa"/>
            <w:tcMar>
              <w:top w:w="15" w:type="dxa"/>
              <w:left w:w="15" w:type="dxa"/>
              <w:bottom w:w="15" w:type="dxa"/>
              <w:right w:w="15" w:type="dxa"/>
            </w:tcMar>
            <w:vAlign w:val="center"/>
          </w:tcPr>
          <w:p>
            <w:pPr>
              <w:widowControl/>
              <w:jc w:val="center"/>
              <w:textAlignment w:val="center"/>
              <w:rPr>
                <w:rFonts w:ascii="宋体"/>
                <w:b/>
                <w:bCs w:val="0"/>
                <w:color w:val="FF0000"/>
                <w:kern w:val="0"/>
                <w:sz w:val="21"/>
                <w:szCs w:val="21"/>
              </w:rPr>
            </w:pPr>
            <w:r>
              <w:rPr>
                <w:rFonts w:hint="eastAsia" w:ascii="宋体" w:hAnsi="宋体"/>
                <w:b/>
                <w:bCs w:val="0"/>
                <w:color w:val="FF0000"/>
                <w:kern w:val="0"/>
                <w:sz w:val="21"/>
                <w:szCs w:val="21"/>
              </w:rPr>
              <w:t>≤</w:t>
            </w:r>
            <w:r>
              <w:rPr>
                <w:rFonts w:ascii="宋体" w:hAnsi="宋体"/>
                <w:b/>
                <w:bCs w:val="0"/>
                <w:color w:val="FF0000"/>
                <w:kern w:val="0"/>
                <w:sz w:val="21"/>
                <w:szCs w:val="21"/>
              </w:rPr>
              <w:t>30</w:t>
            </w:r>
          </w:p>
        </w:tc>
        <w:tc>
          <w:tcPr>
            <w:tcW w:w="1751" w:type="dxa"/>
            <w:vAlign w:val="center"/>
          </w:tcPr>
          <w:p>
            <w:pPr>
              <w:widowControl/>
              <w:jc w:val="center"/>
              <w:textAlignment w:val="center"/>
              <w:rPr>
                <w:rFonts w:ascii="宋体" w:hAnsi="宋体"/>
                <w:b/>
                <w:bCs w:val="0"/>
                <w:color w:val="FF0000"/>
                <w:kern w:val="0"/>
                <w:sz w:val="21"/>
                <w:szCs w:val="21"/>
              </w:rPr>
            </w:pPr>
            <w:r>
              <w:rPr>
                <w:rFonts w:hint="eastAsia" w:ascii="宋体" w:hAnsi="宋体"/>
                <w:b/>
                <w:bCs w:val="0"/>
                <w:color w:val="FF0000"/>
                <w:kern w:val="0"/>
                <w:sz w:val="21"/>
                <w:szCs w:val="21"/>
              </w:rPr>
              <w:t>≤</w:t>
            </w:r>
            <w:r>
              <w:rPr>
                <w:rFonts w:ascii="宋体" w:hAnsi="宋体"/>
                <w:b/>
                <w:bCs w:val="0"/>
                <w:color w:val="FF0000"/>
                <w:kern w:val="0"/>
                <w:sz w:val="21"/>
                <w:szCs w:val="21"/>
              </w:rPr>
              <w:t>20</w:t>
            </w:r>
          </w:p>
        </w:tc>
        <w:tc>
          <w:tcPr>
            <w:tcW w:w="1749" w:type="dxa"/>
            <w:tcMar>
              <w:top w:w="15" w:type="dxa"/>
              <w:left w:w="15" w:type="dxa"/>
              <w:bottom w:w="15" w:type="dxa"/>
              <w:right w:w="15" w:type="dxa"/>
            </w:tcMar>
            <w:vAlign w:val="center"/>
          </w:tcPr>
          <w:p>
            <w:pPr>
              <w:widowControl/>
              <w:jc w:val="center"/>
              <w:textAlignment w:val="center"/>
              <w:rPr>
                <w:rFonts w:ascii="宋体" w:hAnsi="宋体"/>
                <w:b/>
                <w:bCs w:val="0"/>
                <w:color w:val="FF0000"/>
                <w:kern w:val="0"/>
                <w:sz w:val="21"/>
                <w:szCs w:val="21"/>
              </w:rPr>
            </w:pPr>
            <w:r>
              <w:rPr>
                <w:rFonts w:hint="eastAsia" w:ascii="宋体" w:hAnsi="宋体"/>
                <w:b/>
                <w:bCs w:val="0"/>
                <w:color w:val="FF0000"/>
                <w:kern w:val="0"/>
                <w:sz w:val="21"/>
                <w:szCs w:val="21"/>
              </w:rPr>
              <w:t>≤</w:t>
            </w:r>
            <w:r>
              <w:rPr>
                <w:rFonts w:ascii="宋体" w:hAnsi="宋体"/>
                <w:b/>
                <w:bCs w:val="0"/>
                <w:color w:val="FF0000"/>
                <w:kern w:val="0"/>
                <w:sz w:val="21"/>
                <w:szCs w:val="21"/>
              </w:rPr>
              <w:t>25</w:t>
            </w:r>
          </w:p>
        </w:tc>
      </w:tr>
    </w:tbl>
    <w:p>
      <w:pPr>
        <w:widowControl/>
        <w:shd w:val="clear" w:color="auto" w:fill="FFFFFF"/>
        <w:adjustRightInd w:val="0"/>
        <w:snapToGrid w:val="0"/>
        <w:spacing w:line="540" w:lineRule="atLeast"/>
        <w:ind w:firstLine="422" w:firstLineChars="200"/>
        <w:rPr>
          <w:rFonts w:ascii="Times New Roman" w:hAnsi="Times New Roman" w:eastAsia="方正仿宋_GBK"/>
          <w:b/>
          <w:bCs w:val="0"/>
          <w:color w:val="FF0000"/>
          <w:kern w:val="0"/>
          <w:sz w:val="21"/>
          <w:szCs w:val="21"/>
        </w:rPr>
      </w:pPr>
      <w:r>
        <w:rPr>
          <w:rFonts w:hint="eastAsia" w:ascii="Times New Roman" w:hAnsi="黑体" w:eastAsia="黑体"/>
          <w:b/>
          <w:bCs w:val="0"/>
          <w:color w:val="FF0000"/>
          <w:kern w:val="0"/>
          <w:sz w:val="21"/>
          <w:szCs w:val="21"/>
        </w:rPr>
        <w:t>第六条</w:t>
      </w:r>
      <w:r>
        <w:rPr>
          <w:rFonts w:ascii="Times New Roman" w:hAnsi="Times New Roman" w:eastAsia="方正仿宋_GBK"/>
          <w:b/>
          <w:bCs w:val="0"/>
          <w:color w:val="FF0000"/>
          <w:kern w:val="0"/>
          <w:sz w:val="21"/>
          <w:szCs w:val="21"/>
        </w:rPr>
        <w:t xml:space="preserve">  </w:t>
      </w:r>
      <w:r>
        <w:rPr>
          <w:rFonts w:hint="eastAsia" w:ascii="Times New Roman" w:hAnsi="Times New Roman" w:eastAsia="方正仿宋_GBK"/>
          <w:b/>
          <w:bCs w:val="0"/>
          <w:color w:val="FF0000"/>
          <w:kern w:val="0"/>
          <w:sz w:val="21"/>
          <w:szCs w:val="21"/>
        </w:rPr>
        <w:t>掘进工作面单班作业人数应符合以下规定：</w:t>
      </w:r>
    </w:p>
    <w:tbl>
      <w:tblPr>
        <w:tblStyle w:val="7"/>
        <w:tblW w:w="7306" w:type="dxa"/>
        <w:jc w:val="center"/>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Layout w:type="fixed"/>
        <w:tblCellMar>
          <w:top w:w="0" w:type="dxa"/>
          <w:left w:w="0" w:type="dxa"/>
          <w:bottom w:w="0" w:type="dxa"/>
          <w:right w:w="0" w:type="dxa"/>
        </w:tblCellMar>
      </w:tblPr>
      <w:tblGrid>
        <w:gridCol w:w="1748"/>
        <w:gridCol w:w="2431"/>
        <w:gridCol w:w="3127"/>
      </w:tblGrid>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467" w:hRule="exact"/>
          <w:jc w:val="center"/>
        </w:trPr>
        <w:tc>
          <w:tcPr>
            <w:tcW w:w="1748" w:type="dxa"/>
            <w:tcMar>
              <w:top w:w="15" w:type="dxa"/>
              <w:left w:w="15" w:type="dxa"/>
              <w:bottom w:w="15" w:type="dxa"/>
              <w:right w:w="15" w:type="dxa"/>
            </w:tcMar>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矿井类型</w:t>
            </w:r>
          </w:p>
        </w:tc>
        <w:tc>
          <w:tcPr>
            <w:tcW w:w="2431" w:type="dxa"/>
            <w:tcMar>
              <w:top w:w="15" w:type="dxa"/>
              <w:left w:w="15" w:type="dxa"/>
              <w:bottom w:w="15" w:type="dxa"/>
              <w:right w:w="15" w:type="dxa"/>
            </w:tcMar>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综掘工作面（人）</w:t>
            </w:r>
          </w:p>
        </w:tc>
        <w:tc>
          <w:tcPr>
            <w:tcW w:w="3127" w:type="dxa"/>
            <w:vAlign w:val="center"/>
          </w:tcPr>
          <w:p>
            <w:pPr>
              <w:widowControl/>
              <w:jc w:val="center"/>
              <w:textAlignment w:val="center"/>
              <w:rPr>
                <w:rFonts w:ascii="Times New Roman" w:hAnsi="Times New Roman" w:eastAsia="黑体"/>
                <w:b/>
                <w:bCs w:val="0"/>
                <w:color w:val="FF0000"/>
                <w:kern w:val="0"/>
                <w:sz w:val="21"/>
                <w:szCs w:val="21"/>
              </w:rPr>
            </w:pPr>
            <w:r>
              <w:rPr>
                <w:rFonts w:hint="eastAsia" w:ascii="Times New Roman" w:hAnsi="黑体" w:eastAsia="黑体"/>
                <w:b/>
                <w:bCs w:val="0"/>
                <w:color w:val="FF0000"/>
                <w:kern w:val="0"/>
                <w:sz w:val="21"/>
                <w:szCs w:val="21"/>
              </w:rPr>
              <w:t>炮掘工作面（人）</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62" w:hRule="exact"/>
          <w:jc w:val="center"/>
        </w:trPr>
        <w:tc>
          <w:tcPr>
            <w:tcW w:w="1748" w:type="dxa"/>
            <w:tcMar>
              <w:top w:w="15" w:type="dxa"/>
              <w:left w:w="15" w:type="dxa"/>
              <w:bottom w:w="15" w:type="dxa"/>
              <w:right w:w="15" w:type="dxa"/>
            </w:tcMar>
            <w:vAlign w:val="center"/>
          </w:tcPr>
          <w:p>
            <w:pPr>
              <w:widowControl/>
              <w:jc w:val="center"/>
              <w:textAlignment w:val="center"/>
              <w:rPr>
                <w:rFonts w:ascii="Times New Roman" w:hAnsi="Times New Roman"/>
                <w:b/>
                <w:bCs w:val="0"/>
                <w:color w:val="FF0000"/>
                <w:kern w:val="0"/>
                <w:sz w:val="21"/>
                <w:szCs w:val="21"/>
              </w:rPr>
            </w:pPr>
            <w:r>
              <w:rPr>
                <w:rFonts w:hint="eastAsia" w:ascii="Times New Roman" w:hAnsi="宋体"/>
                <w:b/>
                <w:bCs w:val="0"/>
                <w:color w:val="FF0000"/>
                <w:kern w:val="0"/>
                <w:sz w:val="21"/>
                <w:szCs w:val="21"/>
              </w:rPr>
              <w:t>灾害严重矿井</w:t>
            </w:r>
          </w:p>
        </w:tc>
        <w:tc>
          <w:tcPr>
            <w:tcW w:w="2431" w:type="dxa"/>
            <w:tcMar>
              <w:top w:w="15" w:type="dxa"/>
              <w:left w:w="15" w:type="dxa"/>
              <w:bottom w:w="15" w:type="dxa"/>
              <w:right w:w="15" w:type="dxa"/>
            </w:tcMar>
            <w:vAlign w:val="center"/>
          </w:tcPr>
          <w:p>
            <w:pPr>
              <w:widowControl/>
              <w:jc w:val="center"/>
              <w:textAlignment w:val="center"/>
              <w:rPr>
                <w:rFonts w:ascii="宋体"/>
                <w:b/>
                <w:bCs w:val="0"/>
                <w:color w:val="FF0000"/>
                <w:kern w:val="0"/>
                <w:sz w:val="21"/>
                <w:szCs w:val="21"/>
              </w:rPr>
            </w:pPr>
            <w:r>
              <w:rPr>
                <w:rFonts w:hint="eastAsia" w:ascii="宋体"/>
                <w:b/>
                <w:bCs w:val="0"/>
                <w:color w:val="FF0000"/>
                <w:kern w:val="0"/>
                <w:sz w:val="21"/>
                <w:szCs w:val="21"/>
              </w:rPr>
              <w:t>≤</w:t>
            </w:r>
            <w:r>
              <w:rPr>
                <w:rFonts w:ascii="宋体" w:hAnsi="宋体"/>
                <w:b/>
                <w:bCs w:val="0"/>
                <w:color w:val="FF0000"/>
                <w:kern w:val="0"/>
                <w:sz w:val="21"/>
                <w:szCs w:val="21"/>
              </w:rPr>
              <w:t>18</w:t>
            </w:r>
          </w:p>
        </w:tc>
        <w:tc>
          <w:tcPr>
            <w:tcW w:w="3127" w:type="dxa"/>
            <w:vAlign w:val="center"/>
          </w:tcPr>
          <w:p>
            <w:pPr>
              <w:widowControl/>
              <w:jc w:val="center"/>
              <w:textAlignment w:val="center"/>
              <w:rPr>
                <w:rFonts w:ascii="宋体" w:hAnsi="宋体"/>
                <w:b/>
                <w:bCs w:val="0"/>
                <w:color w:val="FF0000"/>
                <w:kern w:val="0"/>
                <w:sz w:val="21"/>
                <w:szCs w:val="21"/>
              </w:rPr>
            </w:pPr>
            <w:r>
              <w:rPr>
                <w:rFonts w:hint="eastAsia" w:ascii="宋体"/>
                <w:b/>
                <w:bCs w:val="0"/>
                <w:color w:val="FF0000"/>
                <w:kern w:val="0"/>
                <w:sz w:val="21"/>
                <w:szCs w:val="21"/>
              </w:rPr>
              <w:t>≤</w:t>
            </w:r>
            <w:r>
              <w:rPr>
                <w:rFonts w:ascii="宋体" w:hAnsi="宋体"/>
                <w:b/>
                <w:bCs w:val="0"/>
                <w:color w:val="FF0000"/>
                <w:kern w:val="0"/>
                <w:sz w:val="21"/>
                <w:szCs w:val="21"/>
              </w:rPr>
              <w:t>15</w:t>
            </w:r>
          </w:p>
        </w:tc>
      </w:tr>
      <w:tr>
        <w:tblPrEx>
          <w:tblBorders>
            <w:top w:val="single" w:color="000000" w:sz="8" w:space="0"/>
            <w:left w:val="none" w:color="auto" w:sz="0" w:space="0"/>
            <w:bottom w:val="single" w:color="000000" w:sz="8"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82" w:hRule="exact"/>
          <w:jc w:val="center"/>
        </w:trPr>
        <w:tc>
          <w:tcPr>
            <w:tcW w:w="1748" w:type="dxa"/>
            <w:tcMar>
              <w:top w:w="15" w:type="dxa"/>
              <w:left w:w="15" w:type="dxa"/>
              <w:bottom w:w="15" w:type="dxa"/>
              <w:right w:w="15" w:type="dxa"/>
            </w:tcMar>
            <w:vAlign w:val="center"/>
          </w:tcPr>
          <w:p>
            <w:pPr>
              <w:widowControl/>
              <w:jc w:val="center"/>
              <w:textAlignment w:val="center"/>
              <w:rPr>
                <w:rFonts w:ascii="Times New Roman" w:hAnsi="Times New Roman"/>
                <w:b/>
                <w:bCs w:val="0"/>
                <w:color w:val="FF0000"/>
                <w:kern w:val="0"/>
                <w:sz w:val="21"/>
                <w:szCs w:val="21"/>
              </w:rPr>
            </w:pPr>
            <w:r>
              <w:rPr>
                <w:rFonts w:hint="eastAsia" w:ascii="Times New Roman" w:hAnsi="宋体"/>
                <w:b/>
                <w:bCs w:val="0"/>
                <w:color w:val="FF0000"/>
                <w:kern w:val="0"/>
                <w:sz w:val="21"/>
                <w:szCs w:val="21"/>
              </w:rPr>
              <w:t>其他矿井</w:t>
            </w:r>
          </w:p>
        </w:tc>
        <w:tc>
          <w:tcPr>
            <w:tcW w:w="2431" w:type="dxa"/>
            <w:tcMar>
              <w:top w:w="15" w:type="dxa"/>
              <w:left w:w="15" w:type="dxa"/>
              <w:bottom w:w="15" w:type="dxa"/>
              <w:right w:w="15" w:type="dxa"/>
            </w:tcMar>
            <w:vAlign w:val="center"/>
          </w:tcPr>
          <w:p>
            <w:pPr>
              <w:widowControl/>
              <w:jc w:val="center"/>
              <w:textAlignment w:val="center"/>
              <w:rPr>
                <w:rFonts w:ascii="宋体"/>
                <w:b/>
                <w:bCs w:val="0"/>
                <w:color w:val="FF0000"/>
                <w:kern w:val="0"/>
                <w:sz w:val="21"/>
                <w:szCs w:val="21"/>
              </w:rPr>
            </w:pPr>
            <w:r>
              <w:rPr>
                <w:rFonts w:hint="eastAsia" w:ascii="宋体"/>
                <w:b/>
                <w:bCs w:val="0"/>
                <w:color w:val="FF0000"/>
                <w:kern w:val="0"/>
                <w:sz w:val="21"/>
                <w:szCs w:val="21"/>
              </w:rPr>
              <w:t>≤</w:t>
            </w:r>
            <w:r>
              <w:rPr>
                <w:rFonts w:ascii="宋体" w:hAnsi="宋体"/>
                <w:b/>
                <w:bCs w:val="0"/>
                <w:color w:val="FF0000"/>
                <w:kern w:val="0"/>
                <w:sz w:val="21"/>
                <w:szCs w:val="21"/>
              </w:rPr>
              <w:t>16</w:t>
            </w:r>
          </w:p>
        </w:tc>
        <w:tc>
          <w:tcPr>
            <w:tcW w:w="3127" w:type="dxa"/>
            <w:vAlign w:val="center"/>
          </w:tcPr>
          <w:p>
            <w:pPr>
              <w:widowControl/>
              <w:jc w:val="center"/>
              <w:textAlignment w:val="center"/>
              <w:rPr>
                <w:rFonts w:ascii="宋体" w:hAnsi="宋体"/>
                <w:b/>
                <w:bCs w:val="0"/>
                <w:color w:val="FF0000"/>
                <w:kern w:val="0"/>
                <w:sz w:val="21"/>
                <w:szCs w:val="21"/>
              </w:rPr>
            </w:pPr>
            <w:r>
              <w:rPr>
                <w:rFonts w:hint="eastAsia" w:ascii="宋体"/>
                <w:b/>
                <w:bCs w:val="0"/>
                <w:color w:val="FF0000"/>
                <w:kern w:val="0"/>
                <w:sz w:val="21"/>
                <w:szCs w:val="21"/>
              </w:rPr>
              <w:t>≤</w:t>
            </w:r>
            <w:r>
              <w:rPr>
                <w:rFonts w:ascii="宋体" w:hAnsi="宋体"/>
                <w:b/>
                <w:bCs w:val="0"/>
                <w:color w:val="FF0000"/>
                <w:kern w:val="0"/>
                <w:sz w:val="21"/>
                <w:szCs w:val="21"/>
              </w:rPr>
              <w:t>12</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第五条  “瓦斯超限作业”重大事故隐患，是指有下列情形之一的：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（一）瓦斯检查存在漏检、假检</w:t>
      </w:r>
      <w:r>
        <w:rPr>
          <w:rFonts w:hint="eastAsia" w:ascii="仿宋" w:hAnsi="仿宋" w:eastAsia="仿宋" w:cs="仿宋"/>
          <w:sz w:val="32"/>
          <w:szCs w:val="32"/>
          <w:u w:val="single"/>
        </w:rPr>
        <w:t>情况且进行作业的；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heme="minorEastAsia" w:hAnsiTheme="minorEastAsia" w:eastAsiaTheme="minorEastAsia" w:cstheme="minorEastAsia"/>
          <w:b/>
          <w:bCs/>
          <w:color w:val="FF0000"/>
          <w:sz w:val="21"/>
          <w:szCs w:val="21"/>
          <w:vertAlign w:val="baseline"/>
          <w:lang w:val="en-US" w:eastAsia="zh-CN"/>
        </w:rPr>
      </w:pPr>
      <w:r>
        <w:rPr>
          <w:rFonts w:hint="eastAsia" w:ascii="仿宋" w:hAnsi="仿宋" w:eastAsia="仿宋" w:cs="仿宋"/>
          <w:sz w:val="32"/>
          <w:szCs w:val="32"/>
        </w:rPr>
        <w:t>（二）井下瓦斯超限后</w:t>
      </w:r>
      <w:r>
        <w:rPr>
          <w:rFonts w:hint="eastAsia" w:ascii="仿宋" w:hAnsi="仿宋" w:eastAsia="仿宋" w:cs="仿宋"/>
          <w:sz w:val="32"/>
          <w:szCs w:val="32"/>
          <w:u w:val="none"/>
        </w:rPr>
        <w:t>继续作业</w:t>
      </w:r>
      <w:r>
        <w:rPr>
          <w:rFonts w:hint="eastAsia" w:ascii="仿宋" w:hAnsi="仿宋" w:eastAsia="仿宋" w:cs="仿宋"/>
          <w:sz w:val="32"/>
          <w:szCs w:val="32"/>
          <w:u w:val="single"/>
        </w:rPr>
        <w:t>或者未按照国家规定处置继续进行作业的；</w:t>
      </w:r>
      <w:r>
        <w:rPr>
          <w:rFonts w:hint="eastAsia" w:asciiTheme="minorEastAsia" w:hAnsiTheme="minorEastAsia" w:eastAsiaTheme="minorEastAsia" w:cstheme="minorEastAsia"/>
          <w:b/>
          <w:bCs/>
          <w:color w:val="FF0000"/>
          <w:sz w:val="21"/>
          <w:szCs w:val="21"/>
          <w:vertAlign w:val="baseline"/>
          <w:lang w:val="en-US" w:eastAsia="zh-CN"/>
        </w:rPr>
        <w:t xml:space="preserve">《煤矿安全规程》第一百七十三条 采掘工作面及其他作业地点风流中甲烷浓度达到1.0%时,必须停止用电钻打眼;爆破地点附近 20m以内风流中甲烷浓度达到1.0%时,严禁爆破。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仿宋_GB2312" w:hAnsi="仿宋_GB2312" w:eastAsia="仿宋_GB2312" w:cs="仿宋_GB2312"/>
          <w:b/>
          <w:bCs/>
          <w:color w:val="FF0000"/>
          <w:sz w:val="21"/>
          <w:szCs w:val="21"/>
          <w:vertAlign w:val="baseline"/>
          <w:lang w:val="en-US" w:eastAsia="zh-CN"/>
        </w:rPr>
      </w:pPr>
      <w:r>
        <w:rPr>
          <w:rFonts w:hint="eastAsia" w:asciiTheme="minorEastAsia" w:hAnsiTheme="minorEastAsia" w:eastAsiaTheme="minorEastAsia" w:cstheme="minorEastAsia"/>
          <w:b/>
          <w:bCs/>
          <w:color w:val="FF0000"/>
          <w:sz w:val="21"/>
          <w:szCs w:val="21"/>
          <w:vertAlign w:val="baseline"/>
          <w:lang w:val="en-US" w:eastAsia="zh-CN"/>
        </w:rPr>
        <w:t>采掘工作面及其他作业地点风流中、电动机或者其开关安设地点附近20m以内风流中的甲烷浓度达到1.5%时,必须停止工作,切断电源,撤出人员,进行处理。</w:t>
      </w:r>
      <w:r>
        <w:rPr>
          <w:rFonts w:hint="eastAsia" w:ascii="仿宋_GB2312" w:hAnsi="仿宋_GB2312" w:eastAsia="仿宋_GB2312" w:cs="仿宋_GB2312"/>
          <w:b/>
          <w:bCs/>
          <w:color w:val="FF0000"/>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heme="minorEastAsia" w:hAnsiTheme="minorEastAsia" w:eastAsiaTheme="minorEastAsia" w:cstheme="minorEastAsia"/>
          <w:b/>
          <w:bCs/>
          <w:color w:val="FF0000"/>
          <w:sz w:val="21"/>
          <w:szCs w:val="21"/>
          <w:vertAlign w:val="baseline"/>
          <w:lang w:val="en-US" w:eastAsia="zh-CN"/>
        </w:rPr>
      </w:pPr>
      <w:r>
        <w:rPr>
          <w:rFonts w:hint="eastAsia" w:ascii="仿宋" w:hAnsi="仿宋" w:eastAsia="仿宋" w:cs="仿宋"/>
          <w:sz w:val="32"/>
          <w:szCs w:val="32"/>
          <w:u w:val="single"/>
        </w:rPr>
        <w:t>（三）井下排放积聚瓦斯未按照国家规定制定并实施安全技术措施进行作业的。</w:t>
      </w:r>
      <w:r>
        <w:rPr>
          <w:rFonts w:hint="eastAsia" w:ascii="仿宋" w:hAnsi="仿宋" w:eastAsia="仿宋" w:cs="仿宋"/>
          <w:sz w:val="32"/>
          <w:szCs w:val="32"/>
          <w:u w:val="single"/>
          <w:lang w:eastAsia="zh-CN"/>
        </w:rPr>
        <w:t>（增加）</w:t>
      </w:r>
      <w:r>
        <w:rPr>
          <w:rFonts w:hint="eastAsia" w:ascii="仿宋_GB2312" w:hAnsi="仿宋_GB2312" w:eastAsia="仿宋_GB2312" w:cs="仿宋_GB2312"/>
          <w:b/>
          <w:bCs/>
          <w:color w:val="FF0000"/>
          <w:sz w:val="21"/>
          <w:szCs w:val="21"/>
          <w:vertAlign w:val="baseline"/>
          <w:lang w:val="en-US" w:eastAsia="zh-CN"/>
        </w:rPr>
        <w:t>《</w:t>
      </w:r>
      <w:r>
        <w:rPr>
          <w:rFonts w:hint="eastAsia" w:asciiTheme="minorEastAsia" w:hAnsiTheme="minorEastAsia" w:eastAsiaTheme="minorEastAsia" w:cstheme="minorEastAsia"/>
          <w:b/>
          <w:bCs/>
          <w:color w:val="FF0000"/>
          <w:sz w:val="21"/>
          <w:szCs w:val="21"/>
          <w:vertAlign w:val="baseline"/>
          <w:lang w:val="en-US" w:eastAsia="zh-CN"/>
        </w:rPr>
        <w:t>煤矿安全规程》第一百七十三条采掘工作面及其他巷道内,体积大于0.5m3的空间内积聚的甲烷浓度达到 2.0%时,附近20m内必须停止工作,撤出人员,切断电源,进行处理。对因甲烷浓度超过规定被切断电源的电气设备,必须在甲烷浓度降到 1.0%以下时,方可通电开动。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第六条  “煤与瓦斯突出矿井，未依照规定实施防突出措施”重大事故隐患，是指有下列情形之一的：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w:t>
      </w:r>
      <w:r>
        <w:rPr>
          <w:rFonts w:hint="eastAsia" w:ascii="仿宋" w:hAnsi="仿宋" w:eastAsia="仿宋" w:cs="仿宋"/>
          <w:sz w:val="32"/>
          <w:szCs w:val="32"/>
          <w:u w:val="single"/>
        </w:rPr>
        <w:t>未设立防突</w:t>
      </w:r>
      <w:r>
        <w:rPr>
          <w:rFonts w:hint="eastAsia" w:ascii="仿宋" w:hAnsi="仿宋" w:eastAsia="仿宋" w:cs="仿宋"/>
          <w:sz w:val="32"/>
          <w:szCs w:val="32"/>
        </w:rPr>
        <w:t>机构并配备相应专业人员的；</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（二）未</w:t>
      </w:r>
      <w:r>
        <w:rPr>
          <w:rFonts w:hint="eastAsia" w:ascii="仿宋" w:hAnsi="仿宋" w:eastAsia="仿宋" w:cs="仿宋"/>
          <w:sz w:val="32"/>
          <w:szCs w:val="32"/>
          <w:u w:val="single"/>
        </w:rPr>
        <w:t>建立</w:t>
      </w:r>
      <w:r>
        <w:rPr>
          <w:rFonts w:hint="eastAsia" w:ascii="仿宋" w:hAnsi="仿宋" w:eastAsia="仿宋" w:cs="仿宋"/>
          <w:sz w:val="32"/>
          <w:szCs w:val="32"/>
        </w:rPr>
        <w:t>地面永久瓦斯抽采系统或者系统不能正常运行的；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《防治煤与瓦斯突出细则》煤安监技装〔2019)28号 第十八条（略）突出矿井必须建立地面永久瓦斯抽采系统。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（三）未</w:t>
      </w:r>
      <w:r>
        <w:rPr>
          <w:rFonts w:hint="eastAsia" w:ascii="仿宋" w:hAnsi="仿宋" w:eastAsia="仿宋" w:cs="仿宋"/>
          <w:sz w:val="32"/>
          <w:szCs w:val="32"/>
          <w:u w:val="single"/>
        </w:rPr>
        <w:t>按照国家规定</w:t>
      </w:r>
      <w:r>
        <w:rPr>
          <w:rFonts w:hint="eastAsia" w:ascii="仿宋" w:hAnsi="仿宋" w:eastAsia="仿宋" w:cs="仿宋"/>
          <w:sz w:val="32"/>
          <w:szCs w:val="32"/>
        </w:rPr>
        <w:t>进行区域或者工作面突出危险性预测的</w:t>
      </w:r>
      <w:r>
        <w:rPr>
          <w:rFonts w:hint="eastAsia" w:ascii="仿宋" w:hAnsi="仿宋" w:eastAsia="仿宋" w:cs="仿宋"/>
          <w:sz w:val="32"/>
          <w:szCs w:val="32"/>
          <w:u w:val="single"/>
        </w:rPr>
        <w:t>（直接认定为突出危险区域或者突出危险工作面的除外）；</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（四）未</w:t>
      </w:r>
      <w:r>
        <w:rPr>
          <w:rFonts w:hint="eastAsia" w:ascii="仿宋" w:hAnsi="仿宋" w:eastAsia="仿宋" w:cs="仿宋"/>
          <w:sz w:val="32"/>
          <w:szCs w:val="32"/>
          <w:u w:val="single"/>
        </w:rPr>
        <w:t>按照国家规定</w:t>
      </w:r>
      <w:r>
        <w:rPr>
          <w:rFonts w:hint="eastAsia" w:ascii="仿宋" w:hAnsi="仿宋" w:eastAsia="仿宋" w:cs="仿宋"/>
          <w:sz w:val="32"/>
          <w:szCs w:val="32"/>
        </w:rPr>
        <w:t>采取防治突出措施的；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val="0"/>
          <w:color w:val="FF0000"/>
          <w:sz w:val="21"/>
          <w:szCs w:val="21"/>
          <w:vertAlign w:val="baseline"/>
          <w:lang w:val="en-US" w:eastAsia="zh-CN"/>
        </w:rPr>
      </w:pPr>
      <w:r>
        <w:rPr>
          <w:rFonts w:hint="eastAsia" w:ascii="Times New Roman" w:hAnsi="Times New Roman" w:eastAsia="方正仿宋_GBK"/>
          <w:b/>
          <w:bCs w:val="0"/>
          <w:color w:val="FF0000"/>
          <w:kern w:val="0"/>
          <w:sz w:val="21"/>
          <w:szCs w:val="21"/>
          <w:lang w:val="en-US" w:eastAsia="zh-CN"/>
        </w:rPr>
        <w:t xml:space="preserve">《防治煤与瓦斯突出细则》煤安监技装〔2019)28号 </w:t>
      </w:r>
      <w:r>
        <w:rPr>
          <w:rFonts w:hint="eastAsia" w:ascii="宋体" w:hAnsi="宋体" w:eastAsia="宋体" w:cs="宋体"/>
          <w:b/>
          <w:bCs w:val="0"/>
          <w:color w:val="FF0000"/>
          <w:sz w:val="21"/>
          <w:szCs w:val="21"/>
          <w:vertAlign w:val="baseline"/>
          <w:lang w:val="en-US" w:eastAsia="zh-CN"/>
        </w:rPr>
        <w:t>第五条 有突出矿井的煤矿企业、突出矿井应当依据本细则， 结合矿井开采条件，制定、实施区域和局部综合防突措施。</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2" w:firstLineChars="200"/>
        <w:jc w:val="both"/>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 xml:space="preserve">区域综合防突措施包括下列内容：（一）区域突出危险性预测；（二）区域防突措施；（三）区域防突措施效果检验； 四）区域验证。 </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2" w:firstLineChars="200"/>
        <w:jc w:val="both"/>
        <w:textAlignment w:val="auto"/>
        <w:outlineLvl w:val="9"/>
        <w:rPr>
          <w:rFonts w:hint="eastAsia" w:ascii="仿宋" w:hAnsi="仿宋" w:eastAsia="仿宋" w:cs="仿宋"/>
          <w:b/>
          <w:bCs w:val="0"/>
          <w:sz w:val="32"/>
          <w:szCs w:val="32"/>
        </w:rPr>
      </w:pPr>
      <w:r>
        <w:rPr>
          <w:rFonts w:hint="eastAsia" w:ascii="宋体" w:hAnsi="宋体" w:eastAsia="宋体" w:cs="宋体"/>
          <w:b/>
          <w:bCs w:val="0"/>
          <w:color w:val="FF0000"/>
          <w:sz w:val="21"/>
          <w:szCs w:val="21"/>
          <w:vertAlign w:val="baseline"/>
          <w:lang w:val="en-US" w:eastAsia="zh-CN"/>
        </w:rPr>
        <w:t xml:space="preserve">局部综合防突措施包括下列内容： （一）工作面突出危险性预测；（二）工作面防突措施；（三）工作面防突措施效果检验； （四）安全防护措施。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（五）未</w:t>
      </w:r>
      <w:r>
        <w:rPr>
          <w:rFonts w:hint="eastAsia" w:ascii="仿宋" w:hAnsi="仿宋" w:eastAsia="仿宋" w:cs="仿宋"/>
          <w:sz w:val="32"/>
          <w:szCs w:val="32"/>
          <w:u w:val="single"/>
        </w:rPr>
        <w:t>按照国家规定</w:t>
      </w:r>
      <w:r>
        <w:rPr>
          <w:rFonts w:hint="eastAsia" w:ascii="仿宋" w:hAnsi="仿宋" w:eastAsia="仿宋" w:cs="仿宋"/>
          <w:sz w:val="32"/>
          <w:szCs w:val="32"/>
        </w:rPr>
        <w:t>进行防突措施效果检验和</w:t>
      </w:r>
      <w:r>
        <w:rPr>
          <w:rFonts w:hint="eastAsia" w:ascii="仿宋" w:hAnsi="仿宋" w:eastAsia="仿宋" w:cs="仿宋"/>
          <w:sz w:val="32"/>
          <w:szCs w:val="32"/>
          <w:u w:val="single"/>
        </w:rPr>
        <w:t>验证</w:t>
      </w:r>
      <w:r>
        <w:rPr>
          <w:rFonts w:hint="eastAsia" w:ascii="仿宋" w:hAnsi="仿宋" w:eastAsia="仿宋" w:cs="仿宋"/>
          <w:sz w:val="32"/>
          <w:szCs w:val="32"/>
        </w:rPr>
        <w:t>，或者防突措施效果检验和验证不达标仍然组织生产建设，</w:t>
      </w:r>
      <w:r>
        <w:rPr>
          <w:rFonts w:hint="eastAsia" w:ascii="仿宋" w:hAnsi="仿宋" w:eastAsia="仿宋" w:cs="仿宋"/>
          <w:sz w:val="32"/>
          <w:szCs w:val="32"/>
          <w:u w:val="single"/>
        </w:rPr>
        <w:t>或者防突措施效果检验和验证数据造假的；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（六）未按照国家规定采取安全防护措施的；</w:t>
      </w:r>
    </w:p>
    <w:p>
      <w:pPr>
        <w:ind w:firstLine="640"/>
        <w:jc w:val="left"/>
        <w:rPr>
          <w:rFonts w:hint="eastAsia" w:ascii="仿宋" w:hAnsi="仿宋" w:eastAsia="仿宋" w:cs="仿宋"/>
          <w:sz w:val="32"/>
          <w:szCs w:val="32"/>
        </w:rPr>
      </w:pPr>
      <w:r>
        <w:rPr>
          <w:rFonts w:hint="eastAsia" w:ascii="Times New Roman" w:hAnsi="Times New Roman" w:eastAsia="方正仿宋_GBK"/>
          <w:b/>
          <w:bCs w:val="0"/>
          <w:color w:val="FF0000"/>
          <w:kern w:val="0"/>
          <w:sz w:val="21"/>
          <w:szCs w:val="21"/>
          <w:lang w:val="en-US" w:eastAsia="zh-CN"/>
        </w:rPr>
        <w:t>《防治煤与瓦斯突出细则》煤安监技装〔2019)28号 第一百一十六条 井巷揭穿突出煤层和在突出煤层中进行采掘作业时，必须采取避难硐室、反向风门、压风自救装置、隔离 式自救器、远距离爆破等安全防护措施。</w:t>
      </w:r>
      <w:r>
        <w:rPr>
          <w:rFonts w:hint="eastAsia" w:ascii="Times New Roman" w:hAnsi="Times New Roman" w:eastAsia="方正仿宋_GBK"/>
          <w:bCs/>
          <w:color w:val="FF0000"/>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（七）使用架线式电机车的。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第七条  “高瓦斯矿井未建立瓦斯抽采系统和监控系统，或者</w:t>
      </w:r>
      <w:r>
        <w:rPr>
          <w:rFonts w:hint="eastAsia" w:ascii="仿宋" w:hAnsi="仿宋" w:eastAsia="仿宋" w:cs="仿宋"/>
          <w:sz w:val="32"/>
          <w:szCs w:val="32"/>
          <w:u w:val="single"/>
        </w:rPr>
        <w:t>系统</w:t>
      </w:r>
      <w:r>
        <w:rPr>
          <w:rFonts w:hint="eastAsia" w:ascii="仿宋" w:hAnsi="仿宋" w:eastAsia="仿宋" w:cs="仿宋"/>
          <w:sz w:val="32"/>
          <w:szCs w:val="32"/>
        </w:rPr>
        <w:t>不能正常运行”重大事故隐患，是指有下列情形之一的：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（一）按照《煤矿安全规程》规定应当建立而未建立瓦斯抽采系统或者</w:t>
      </w:r>
      <w:r>
        <w:rPr>
          <w:rFonts w:hint="eastAsia" w:ascii="仿宋" w:hAnsi="仿宋" w:eastAsia="仿宋" w:cs="仿宋"/>
          <w:sz w:val="32"/>
          <w:szCs w:val="32"/>
          <w:u w:val="single"/>
        </w:rPr>
        <w:t>系统不正常使用的；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rPr>
        <w:t>第</w:t>
      </w:r>
      <w:r>
        <w:rPr>
          <w:rFonts w:hint="eastAsia" w:ascii="宋体" w:hAnsi="宋体" w:eastAsia="宋体" w:cs="宋体"/>
          <w:b/>
          <w:bCs/>
          <w:color w:val="FF0000"/>
          <w:sz w:val="21"/>
          <w:szCs w:val="21"/>
          <w:lang w:eastAsia="zh-CN"/>
        </w:rPr>
        <w:t>八十五</w:t>
      </w:r>
      <w:r>
        <w:rPr>
          <w:rFonts w:hint="eastAsia" w:ascii="宋体" w:hAnsi="宋体" w:eastAsia="宋体" w:cs="宋体"/>
          <w:b/>
          <w:bCs/>
          <w:color w:val="FF0000"/>
          <w:sz w:val="21"/>
          <w:szCs w:val="21"/>
        </w:rPr>
        <w:t>条 建</w:t>
      </w:r>
      <w:r>
        <w:rPr>
          <w:rFonts w:hint="eastAsia" w:ascii="宋体" w:hAnsi="宋体" w:eastAsia="宋体" w:cs="宋体"/>
          <w:b/>
          <w:bCs/>
          <w:color w:val="FF0000"/>
          <w:sz w:val="21"/>
          <w:szCs w:val="21"/>
          <w:lang w:val="en-US" w:eastAsia="zh-CN"/>
        </w:rPr>
        <w:t>井期间有下列情况之一的，必须建立瓦斯抽采系统：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（一）突出矿井在揭露突出煤层前。</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（二）任一掘进工作面瓦斯涌出量大于3m3/min，用通风方法解决瓦斯问题不合理的。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vertAlign w:val="baseline"/>
          <w:lang w:val="en-US" w:eastAsia="zh-CN"/>
        </w:rPr>
        <w:t>第一百八十三条</w:t>
      </w:r>
      <w:r>
        <w:rPr>
          <w:rFonts w:hint="eastAsia" w:ascii="仿宋_GB2312" w:hAnsi="仿宋_GB2312" w:eastAsia="仿宋_GB2312" w:cs="仿宋_GB2312"/>
          <w:b/>
          <w:bCs/>
          <w:color w:val="auto"/>
          <w:sz w:val="21"/>
          <w:szCs w:val="21"/>
          <w:vertAlign w:val="baseline"/>
          <w:lang w:val="en-US" w:eastAsia="zh-CN"/>
        </w:rPr>
        <w:t xml:space="preserve"> </w:t>
      </w:r>
      <w:r>
        <w:rPr>
          <w:rFonts w:hint="eastAsia" w:ascii="宋体" w:hAnsi="宋体" w:eastAsia="宋体" w:cs="宋体"/>
          <w:b/>
          <w:bCs/>
          <w:color w:val="FF0000"/>
          <w:sz w:val="21"/>
          <w:szCs w:val="21"/>
          <w:vertAlign w:val="baseline"/>
          <w:lang w:val="en-US" w:eastAsia="zh-CN"/>
        </w:rPr>
        <w:t>设</w:t>
      </w:r>
      <w:r>
        <w:rPr>
          <w:rFonts w:hint="eastAsia" w:ascii="宋体" w:hAnsi="宋体" w:eastAsia="宋体" w:cs="宋体"/>
          <w:b/>
          <w:bCs/>
          <w:color w:val="FF0000"/>
          <w:sz w:val="21"/>
          <w:szCs w:val="21"/>
          <w:lang w:val="en-US" w:eastAsia="zh-CN"/>
        </w:rPr>
        <w:t>置井下临时抽采瓦斯泵站时,必须遵守下列规定: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(一)临时抽采瓦斯泵站应当安设在抽采瓦斯地点附近的新鲜风流中。</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二)抽出的瓦斯可引排到地面、总回风巷、一翼回风巷或者分区回风巷,但必须保证稀释后风流中的瓦斯浓度不超限。在建有地面永久抽采系统的矿井,临时泵站抽出的瓦斯可送至永久抽采系统的管路,但矿井抽采系统的瓦斯浓度必须符合本规程第一百八十四条的规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(三)抽出的瓦斯排入回风巷时,在排瓦斯管路出口必须设置栅栏、悬挂警戒牌等。栅栏设置的位置是上风侧距管路出口5m、下风侧距管路出口30m,两栅栏间禁止任何作业。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第一百八十四条 抽采瓦斯必须遵守下列规定:</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(一)抽采容易自燃和自燃煤层的采空区瓦斯时,抽采管路应当安设一氧化碳、甲烷、温度传感器,实现实时监测监控。发现有自然发火征兆时,应当立即采取措施。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(二)井上下敷设的瓦斯管路,不得与带电物体接触并应当有防止砸坏管路的措施。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(三)采用干式抽采瓦斯设备时,抽采瓦斯浓度不得低于25%。</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(四)利用瓦斯时,在利用瓦斯的系统中必须装设有防回火、防回流和防爆炸作用的安全装置。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vertAlign w:val="baseline"/>
          <w:lang w:val="en-US" w:eastAsia="zh-CN"/>
        </w:rPr>
      </w:pPr>
      <w:r>
        <w:rPr>
          <w:rFonts w:hint="eastAsia" w:ascii="宋体" w:hAnsi="宋体" w:eastAsia="宋体" w:cs="宋体"/>
          <w:b/>
          <w:bCs/>
          <w:color w:val="FF0000"/>
          <w:sz w:val="21"/>
          <w:szCs w:val="21"/>
          <w:vertAlign w:val="baseline"/>
          <w:lang w:val="en-US" w:eastAsia="zh-CN"/>
        </w:rPr>
        <w:t>(五)抽采的瓦斯浓度低于30%时,不得作为燃气直接燃烧。进行管道输送、瓦斯利用或者排空时,必须按有关标准的规定执行,并制定安全技术措施。</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（二）未</w:t>
      </w:r>
      <w:r>
        <w:rPr>
          <w:rFonts w:hint="eastAsia" w:ascii="仿宋" w:hAnsi="仿宋" w:eastAsia="仿宋" w:cs="仿宋"/>
          <w:sz w:val="32"/>
          <w:szCs w:val="32"/>
          <w:u w:val="single"/>
        </w:rPr>
        <w:t>按照国家规定</w:t>
      </w:r>
      <w:r>
        <w:rPr>
          <w:rFonts w:hint="eastAsia" w:ascii="仿宋" w:hAnsi="仿宋" w:eastAsia="仿宋" w:cs="仿宋"/>
          <w:sz w:val="32"/>
          <w:szCs w:val="32"/>
        </w:rPr>
        <w:t>安设、调校甲烷传感器，人为造成甲烷传感器失效，</w:t>
      </w:r>
      <w:r>
        <w:rPr>
          <w:rFonts w:hint="eastAsia" w:ascii="仿宋" w:hAnsi="仿宋" w:eastAsia="仿宋" w:cs="仿宋"/>
          <w:sz w:val="32"/>
          <w:szCs w:val="32"/>
          <w:u w:val="single"/>
        </w:rPr>
        <w:t>或者</w:t>
      </w:r>
      <w:r>
        <w:rPr>
          <w:rFonts w:hint="eastAsia" w:ascii="仿宋" w:hAnsi="仿宋" w:eastAsia="仿宋" w:cs="仿宋"/>
          <w:sz w:val="32"/>
          <w:szCs w:val="32"/>
        </w:rPr>
        <w:t>瓦斯超限后</w:t>
      </w:r>
      <w:r>
        <w:rPr>
          <w:rFonts w:hint="eastAsia" w:ascii="仿宋" w:hAnsi="仿宋" w:eastAsia="仿宋" w:cs="仿宋"/>
          <w:sz w:val="32"/>
          <w:szCs w:val="32"/>
          <w:u w:val="none"/>
        </w:rPr>
        <w:t>不能</w:t>
      </w:r>
      <w:r>
        <w:rPr>
          <w:rFonts w:hint="eastAsia" w:ascii="仿宋" w:hAnsi="仿宋" w:eastAsia="仿宋" w:cs="仿宋"/>
          <w:sz w:val="32"/>
          <w:szCs w:val="32"/>
          <w:u w:val="single"/>
        </w:rPr>
        <w:t>报警</w:t>
      </w:r>
      <w:r>
        <w:rPr>
          <w:rFonts w:hint="eastAsia" w:ascii="仿宋" w:hAnsi="仿宋" w:eastAsia="仿宋" w:cs="仿宋"/>
          <w:sz w:val="32"/>
          <w:szCs w:val="32"/>
        </w:rPr>
        <w:t>、断电或者断电范围不符合</w:t>
      </w:r>
      <w:r>
        <w:rPr>
          <w:rFonts w:hint="eastAsia" w:ascii="仿宋" w:hAnsi="仿宋" w:eastAsia="仿宋" w:cs="仿宋"/>
          <w:sz w:val="32"/>
          <w:szCs w:val="32"/>
          <w:u w:val="single"/>
        </w:rPr>
        <w:t>国家</w:t>
      </w:r>
      <w:r>
        <w:rPr>
          <w:rFonts w:hint="eastAsia" w:ascii="仿宋" w:hAnsi="仿宋" w:eastAsia="仿宋" w:cs="仿宋"/>
          <w:sz w:val="32"/>
          <w:szCs w:val="32"/>
        </w:rPr>
        <w:t>规定的。</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《煤矿安全规程》第四百九十二条 安全监控设备必须定期调校、测试，每月至少1次。采用载体催化元件的甲烷传感器必须使用校准气样和空气气样在设备设置地点调校、便携式甲烷检测报警仪在仪器维修室调校，每15天至少1次。甲烷电闭锁、风电闭锁和故障闭锁功能每15天至少测试1次。可能造成局部通风机停电的，每半年1次。安全监控设备发生故障时，必须及时处理，在故障处理期间必须采用人工监测等安全措施，并填写故障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第八条  “通风系统不完善、不可靠”重大事故隐患，是指有下列情形之一的：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　　（一）矿井总风量不足或</w:t>
      </w:r>
      <w:r>
        <w:rPr>
          <w:rFonts w:hint="eastAsia" w:ascii="仿宋" w:hAnsi="仿宋" w:eastAsia="仿宋" w:cs="仿宋"/>
          <w:sz w:val="32"/>
          <w:szCs w:val="32"/>
          <w:u w:val="none"/>
        </w:rPr>
        <w:t>者</w:t>
      </w:r>
      <w:r>
        <w:rPr>
          <w:rFonts w:hint="eastAsia" w:ascii="仿宋" w:hAnsi="仿宋" w:eastAsia="仿宋" w:cs="仿宋"/>
          <w:sz w:val="32"/>
          <w:szCs w:val="32"/>
          <w:u w:val="single"/>
        </w:rPr>
        <w:t>采掘工作面等主要用风地点风量不足的；</w:t>
      </w:r>
      <w:r>
        <w:rPr>
          <w:rFonts w:hint="eastAsia" w:ascii="仿宋" w:hAnsi="仿宋" w:eastAsia="仿宋" w:cs="仿宋"/>
          <w:sz w:val="32"/>
          <w:szCs w:val="32"/>
          <w:u w:val="single"/>
          <w:lang w:eastAsia="zh-CN"/>
        </w:rPr>
        <w:t>（调整）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（二）没有备用主要通风机，或者两台主要通风机</w:t>
      </w:r>
      <w:r>
        <w:rPr>
          <w:rFonts w:hint="eastAsia" w:ascii="仿宋" w:hAnsi="仿宋" w:eastAsia="仿宋" w:cs="仿宋"/>
          <w:sz w:val="32"/>
          <w:szCs w:val="32"/>
          <w:u w:val="single"/>
        </w:rPr>
        <w:t>不具有同等</w:t>
      </w:r>
      <w:r>
        <w:rPr>
          <w:rFonts w:hint="eastAsia" w:ascii="仿宋" w:hAnsi="仿宋" w:eastAsia="仿宋" w:cs="仿宋"/>
          <w:sz w:val="32"/>
          <w:szCs w:val="32"/>
        </w:rPr>
        <w:t>能力的；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w:t>
      </w:r>
      <w:r>
        <w:rPr>
          <w:rFonts w:hint="eastAsia" w:ascii="仿宋" w:hAnsi="仿宋" w:eastAsia="仿宋" w:cs="仿宋"/>
          <w:sz w:val="32"/>
          <w:szCs w:val="32"/>
          <w:u w:val="single"/>
        </w:rPr>
        <w:t>《煤矿安全规程》</w:t>
      </w:r>
      <w:r>
        <w:rPr>
          <w:rFonts w:hint="eastAsia" w:ascii="仿宋" w:hAnsi="仿宋" w:eastAsia="仿宋" w:cs="仿宋"/>
          <w:sz w:val="32"/>
          <w:szCs w:val="32"/>
        </w:rPr>
        <w:t>规定</w:t>
      </w:r>
      <w:r>
        <w:rPr>
          <w:rFonts w:hint="eastAsia" w:ascii="仿宋" w:hAnsi="仿宋" w:eastAsia="仿宋" w:cs="仿宋"/>
          <w:sz w:val="32"/>
          <w:szCs w:val="32"/>
          <w:u w:val="single"/>
        </w:rPr>
        <w:t>采用</w:t>
      </w:r>
      <w:r>
        <w:rPr>
          <w:rFonts w:hint="eastAsia" w:ascii="仿宋" w:hAnsi="仿宋" w:eastAsia="仿宋" w:cs="仿宋"/>
          <w:sz w:val="32"/>
          <w:szCs w:val="32"/>
        </w:rPr>
        <w:t>串联通风的；</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第一百五十条 采、掘工作面应当实行独立通风,严禁2个采煤工作面之间串联通风。</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同一采区内1个采煤工作面与其相连接的1个掘进工作面、相邻的2个掘进工作面,布置独立通风有困难时,在制定措施后,可采用串联通风,但串联通风的次数不得超过1次。</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采区内为构成新区段通风系统的掘进巷道或者采煤工作面遇地质构造而重新掘进的巷道,布置独立通风有困难时,其回风可以串入采煤工作面,但必须制定安全措施,且串联通风的次数不得超过1次;构成独立通风系统后,必须立即改为独立通风。</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对于本条规定的串联通风,必须在进入被串联工作面的巷道中装设甲烷传感器,且甲烷和二氧化碳浓度都不得超过0.5%，其他有害气体浓度都应当符合本规程第一百三十五条的要求。</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开采有瓦斯喷出、有突出危险的煤层或者在距离突出煤层垂距小于10m的区域掘进施工时,严禁任何2个工作面之间串联通风。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第一百三十五条 井下空气成分必须符合下列要求: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(一)采掘工作面的进风流中,氧气浓度不低于20%,二氧化碳浓度不超过0.5%。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2" w:firstLineChars="200"/>
        <w:jc w:val="both"/>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(二)有害气体的浓度不超过表4规定。表4 矿井有害气体最高允许浓度</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名  称</w:t>
            </w:r>
          </w:p>
        </w:tc>
        <w:tc>
          <w:tcPr>
            <w:tcW w:w="25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一氧化碳（CO）</w:t>
            </w:r>
          </w:p>
        </w:tc>
        <w:tc>
          <w:tcPr>
            <w:tcW w:w="25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氧化氮（换算成NO</w:t>
            </w:r>
            <w:r>
              <w:rPr>
                <w:rFonts w:hint="eastAsia" w:ascii="宋体" w:hAnsi="宋体" w:eastAsia="宋体" w:cs="宋体"/>
                <w:b/>
                <w:bCs w:val="0"/>
                <w:color w:val="FF0000"/>
                <w:sz w:val="21"/>
                <w:szCs w:val="21"/>
                <w:vertAlign w:val="subscript"/>
                <w:lang w:val="en-US" w:eastAsia="zh-CN"/>
              </w:rPr>
              <w:t>2</w:t>
            </w:r>
            <w:r>
              <w:rPr>
                <w:rFonts w:hint="eastAsia" w:ascii="宋体" w:hAnsi="宋体" w:eastAsia="宋体" w:cs="宋体"/>
                <w:b/>
                <w:bCs w:val="0"/>
                <w:color w:val="FF0000"/>
                <w:sz w:val="21"/>
                <w:szCs w:val="21"/>
                <w:vertAlign w:val="baseline"/>
                <w:lang w:val="en-US" w:eastAsia="zh-CN"/>
              </w:rPr>
              <w:t>）</w:t>
            </w:r>
          </w:p>
        </w:tc>
        <w:tc>
          <w:tcPr>
            <w:tcW w:w="257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0.00025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二氧化硫（SO</w:t>
            </w:r>
            <w:r>
              <w:rPr>
                <w:rFonts w:hint="eastAsia" w:ascii="宋体" w:hAnsi="宋体" w:eastAsia="宋体" w:cs="宋体"/>
                <w:b/>
                <w:bCs w:val="0"/>
                <w:color w:val="FF0000"/>
                <w:sz w:val="21"/>
                <w:szCs w:val="21"/>
                <w:vertAlign w:val="subscript"/>
                <w:lang w:val="en-US" w:eastAsia="zh-CN"/>
              </w:rPr>
              <w:t>2</w:t>
            </w:r>
            <w:r>
              <w:rPr>
                <w:rFonts w:hint="eastAsia" w:ascii="宋体" w:hAnsi="宋体" w:eastAsia="宋体" w:cs="宋体"/>
                <w:b/>
                <w:bCs w:val="0"/>
                <w:color w:val="FF0000"/>
                <w:sz w:val="21"/>
                <w:szCs w:val="21"/>
                <w:vertAlign w:val="baseline"/>
                <w:lang w:val="en-US" w:eastAsia="zh-CN"/>
              </w:rPr>
              <w:t>）</w:t>
            </w:r>
          </w:p>
        </w:tc>
        <w:tc>
          <w:tcPr>
            <w:tcW w:w="25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硫化氢（H</w:t>
            </w:r>
            <w:r>
              <w:rPr>
                <w:rFonts w:hint="eastAsia" w:ascii="宋体" w:hAnsi="宋体" w:eastAsia="宋体" w:cs="宋体"/>
                <w:b/>
                <w:bCs w:val="0"/>
                <w:color w:val="FF0000"/>
                <w:sz w:val="21"/>
                <w:szCs w:val="21"/>
                <w:vertAlign w:val="subscript"/>
                <w:lang w:val="en-US" w:eastAsia="zh-CN"/>
              </w:rPr>
              <w:t>2</w:t>
            </w:r>
            <w:r>
              <w:rPr>
                <w:rFonts w:hint="eastAsia" w:ascii="宋体" w:hAnsi="宋体" w:eastAsia="宋体" w:cs="宋体"/>
                <w:b/>
                <w:bCs w:val="0"/>
                <w:color w:val="FF0000"/>
                <w:sz w:val="21"/>
                <w:szCs w:val="21"/>
                <w:vertAlign w:val="baseline"/>
                <w:lang w:val="en-US" w:eastAsia="zh-CN"/>
              </w:rPr>
              <w:t>S）</w:t>
            </w:r>
          </w:p>
        </w:tc>
        <w:tc>
          <w:tcPr>
            <w:tcW w:w="257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val="0"/>
                <w:color w:val="FF0000"/>
                <w:sz w:val="21"/>
                <w:szCs w:val="21"/>
                <w:vertAlign w:val="baseline"/>
                <w:lang w:val="en-US" w:eastAsia="zh-CN"/>
              </w:rPr>
            </w:pPr>
            <w:r>
              <w:rPr>
                <w:rFonts w:hint="eastAsia" w:ascii="宋体" w:hAnsi="宋体" w:eastAsia="宋体" w:cs="宋体"/>
                <w:b/>
                <w:bCs w:val="0"/>
                <w:color w:val="FF0000"/>
                <w:sz w:val="21"/>
                <w:szCs w:val="21"/>
                <w:vertAlign w:val="baseline"/>
                <w:lang w:val="en-US" w:eastAsia="zh-CN"/>
              </w:rPr>
              <w:t>0.00066</w:t>
            </w: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val="0"/>
          <w:color w:val="FF0000"/>
          <w:kern w:val="0"/>
          <w:sz w:val="21"/>
          <w:szCs w:val="21"/>
          <w:lang w:val="en-US" w:eastAsia="zh-CN"/>
        </w:rPr>
      </w:pPr>
      <w:r>
        <w:rPr>
          <w:rFonts w:hint="eastAsia" w:ascii="宋体" w:hAnsi="宋体" w:eastAsia="宋体" w:cs="宋体"/>
          <w:b/>
          <w:bCs w:val="0"/>
          <w:color w:val="FF0000"/>
          <w:sz w:val="21"/>
          <w:szCs w:val="21"/>
          <w:vertAlign w:val="baseline"/>
          <w:lang w:val="en-US" w:eastAsia="zh-CN"/>
        </w:rPr>
        <w:t>甲烷、二氧化碳和氢气的允许浓度按本规程的有关规定执行。矿井中所有气体的浓度均按体积百分比计算。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w:t>
      </w:r>
      <w:r>
        <w:rPr>
          <w:rFonts w:hint="eastAsia" w:ascii="仿宋" w:hAnsi="仿宋" w:eastAsia="仿宋" w:cs="仿宋"/>
          <w:sz w:val="32"/>
          <w:szCs w:val="32"/>
          <w:u w:val="single"/>
        </w:rPr>
        <w:t>未按照</w:t>
      </w:r>
      <w:r>
        <w:rPr>
          <w:rFonts w:hint="eastAsia" w:ascii="仿宋" w:hAnsi="仿宋" w:eastAsia="仿宋" w:cs="仿宋"/>
          <w:sz w:val="32"/>
          <w:szCs w:val="32"/>
        </w:rPr>
        <w:t>设计形成通风系统，或者生产水平和</w:t>
      </w:r>
      <w:r>
        <w:rPr>
          <w:rFonts w:hint="eastAsia" w:ascii="仿宋" w:hAnsi="仿宋" w:eastAsia="仿宋" w:cs="仿宋"/>
          <w:sz w:val="32"/>
          <w:szCs w:val="32"/>
          <w:u w:val="single"/>
        </w:rPr>
        <w:t>采（盘）区</w:t>
      </w:r>
      <w:r>
        <w:rPr>
          <w:rFonts w:hint="eastAsia" w:ascii="仿宋" w:hAnsi="仿宋" w:eastAsia="仿宋" w:cs="仿宋"/>
          <w:sz w:val="32"/>
          <w:szCs w:val="32"/>
        </w:rPr>
        <w:t>未实现分区通风的；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（五）高瓦斯、煤与瓦斯突出矿井的任一采（盘）区，开采容易自燃煤层、低瓦斯矿井开采煤层群和分层开采采用联合布置的采（盘）区，未设置专用回风巷，或者突出煤层工作面没有独立的回风系统的；</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Times New Roman" w:hAnsi="Times New Roman" w:eastAsia="方正仿宋_GBK"/>
          <w:b/>
          <w:bCs w:val="0"/>
          <w:color w:val="FF0000"/>
          <w:kern w:val="0"/>
          <w:sz w:val="21"/>
          <w:szCs w:val="21"/>
          <w:lang w:val="en-US" w:eastAsia="zh-CN"/>
        </w:rPr>
      </w:pPr>
      <w:r>
        <w:rPr>
          <w:rFonts w:hint="eastAsia" w:ascii="仿宋" w:hAnsi="仿宋" w:eastAsia="仿宋" w:cs="仿宋"/>
          <w:sz w:val="32"/>
          <w:szCs w:val="32"/>
          <w:u w:val="single"/>
        </w:rPr>
        <w:t>（六）进、回风井之间和主要进、回风巷之间联络巷中的风墙、风门不符合《煤矿安全规程》规定，造成风流短路的；</w:t>
      </w:r>
      <w:r>
        <w:rPr>
          <w:rFonts w:hint="eastAsia" w:ascii="仿宋" w:hAnsi="仿宋" w:eastAsia="仿宋" w:cs="仿宋"/>
          <w:sz w:val="32"/>
          <w:szCs w:val="32"/>
          <w:u w:val="single"/>
          <w:lang w:eastAsia="zh-CN"/>
        </w:rPr>
        <w:t>（增加）</w:t>
      </w:r>
      <w:r>
        <w:rPr>
          <w:rFonts w:hint="eastAsia" w:ascii="Times New Roman" w:hAnsi="Times New Roman" w:eastAsia="方正仿宋_GBK"/>
          <w:b/>
          <w:bCs w:val="0"/>
          <w:color w:val="FF0000"/>
          <w:kern w:val="0"/>
          <w:sz w:val="21"/>
          <w:szCs w:val="21"/>
          <w:lang w:val="en-US" w:eastAsia="zh-CN"/>
        </w:rPr>
        <w:t>第一百四十四条 进、回风井之间和主要进、回风巷之间的每条联络巷中，必须砌筑永久性风墙；需要使用的联络巷，必须安设2道联锁的正向风门和2道反向风门。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（七）采区进、回风巷未贯穿整个采区，或者虽贯穿整个采区但一段进风、一段回风</w:t>
      </w:r>
      <w:r>
        <w:rPr>
          <w:rFonts w:hint="eastAsia" w:ascii="仿宋" w:hAnsi="仿宋" w:eastAsia="仿宋" w:cs="仿宋"/>
          <w:sz w:val="32"/>
          <w:szCs w:val="32"/>
          <w:u w:val="single"/>
        </w:rPr>
        <w:t>，或者采用倾斜长壁布置，大巷未超前至少2个区段构成通风系统即开掘其他巷道的；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（八）煤巷、半煤岩巷和有瓦斯涌出的岩巷掘进未</w:t>
      </w:r>
      <w:r>
        <w:rPr>
          <w:rFonts w:hint="eastAsia" w:ascii="仿宋" w:hAnsi="仿宋" w:eastAsia="仿宋" w:cs="仿宋"/>
          <w:sz w:val="32"/>
          <w:szCs w:val="32"/>
          <w:u w:val="single"/>
        </w:rPr>
        <w:t>按照国家规定</w:t>
      </w:r>
      <w:r>
        <w:rPr>
          <w:rFonts w:hint="eastAsia" w:ascii="仿宋" w:hAnsi="仿宋" w:eastAsia="仿宋" w:cs="仿宋"/>
          <w:sz w:val="32"/>
          <w:szCs w:val="32"/>
        </w:rPr>
        <w:t>装备甲烷电、风电闭锁装置或者有关装置不能正常使用的；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（九）高瓦斯、煤</w:t>
      </w:r>
      <w:r>
        <w:rPr>
          <w:rFonts w:hint="eastAsia" w:ascii="仿宋" w:hAnsi="仿宋" w:eastAsia="仿宋" w:cs="仿宋"/>
          <w:sz w:val="32"/>
          <w:szCs w:val="32"/>
          <w:u w:val="single"/>
        </w:rPr>
        <w:t>（岩）</w:t>
      </w:r>
      <w:r>
        <w:rPr>
          <w:rFonts w:hint="eastAsia" w:ascii="仿宋" w:hAnsi="仿宋" w:eastAsia="仿宋" w:cs="仿宋"/>
          <w:sz w:val="32"/>
          <w:szCs w:val="32"/>
        </w:rPr>
        <w:t>与瓦斯</w:t>
      </w:r>
      <w:r>
        <w:rPr>
          <w:rFonts w:hint="eastAsia" w:ascii="仿宋" w:hAnsi="仿宋" w:eastAsia="仿宋" w:cs="仿宋"/>
          <w:sz w:val="32"/>
          <w:szCs w:val="32"/>
          <w:u w:val="single"/>
        </w:rPr>
        <w:t>（二氧化碳）</w:t>
      </w:r>
      <w:r>
        <w:rPr>
          <w:rFonts w:hint="eastAsia" w:ascii="仿宋" w:hAnsi="仿宋" w:eastAsia="仿宋" w:cs="仿宋"/>
          <w:sz w:val="32"/>
          <w:szCs w:val="32"/>
        </w:rPr>
        <w:t>突出矿井的</w:t>
      </w:r>
      <w:r>
        <w:rPr>
          <w:rFonts w:hint="eastAsia" w:ascii="仿宋" w:hAnsi="仿宋" w:eastAsia="仿宋" w:cs="仿宋"/>
          <w:sz w:val="32"/>
          <w:szCs w:val="32"/>
          <w:u w:val="single"/>
        </w:rPr>
        <w:t>煤巷、半煤岩巷和有瓦斯涌出的岩巷掘进工作面</w:t>
      </w:r>
      <w:r>
        <w:rPr>
          <w:rFonts w:hint="eastAsia" w:ascii="仿宋" w:hAnsi="仿宋" w:eastAsia="仿宋" w:cs="仿宋"/>
          <w:sz w:val="32"/>
          <w:szCs w:val="32"/>
        </w:rPr>
        <w:t>采用局部通风</w:t>
      </w:r>
      <w:r>
        <w:rPr>
          <w:rFonts w:hint="eastAsia" w:ascii="仿宋" w:hAnsi="仿宋" w:eastAsia="仿宋" w:cs="仿宋"/>
          <w:sz w:val="32"/>
          <w:szCs w:val="32"/>
          <w:u w:val="single"/>
        </w:rPr>
        <w:t>时</w:t>
      </w:r>
      <w:r>
        <w:rPr>
          <w:rFonts w:hint="eastAsia" w:ascii="仿宋" w:hAnsi="仿宋" w:eastAsia="仿宋" w:cs="仿宋"/>
          <w:sz w:val="32"/>
          <w:szCs w:val="32"/>
        </w:rPr>
        <w:t>，不能实现双风机、双电源且自动切换的；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（十）高瓦斯、煤</w:t>
      </w:r>
      <w:r>
        <w:rPr>
          <w:rFonts w:hint="eastAsia" w:ascii="仿宋" w:hAnsi="仿宋" w:eastAsia="仿宋" w:cs="仿宋"/>
          <w:sz w:val="32"/>
          <w:szCs w:val="32"/>
          <w:u w:val="single"/>
        </w:rPr>
        <w:t>（岩）</w:t>
      </w:r>
      <w:r>
        <w:rPr>
          <w:rFonts w:hint="eastAsia" w:ascii="仿宋" w:hAnsi="仿宋" w:eastAsia="仿宋" w:cs="仿宋"/>
          <w:sz w:val="32"/>
          <w:szCs w:val="32"/>
        </w:rPr>
        <w:t>与瓦斯</w:t>
      </w:r>
      <w:r>
        <w:rPr>
          <w:rFonts w:hint="eastAsia" w:ascii="仿宋" w:hAnsi="仿宋" w:eastAsia="仿宋" w:cs="仿宋"/>
          <w:sz w:val="32"/>
          <w:szCs w:val="32"/>
          <w:u w:val="single"/>
        </w:rPr>
        <w:t>（二氧化碳）</w:t>
      </w:r>
      <w:r>
        <w:rPr>
          <w:rFonts w:hint="eastAsia" w:ascii="仿宋" w:hAnsi="仿宋" w:eastAsia="仿宋" w:cs="仿宋"/>
          <w:sz w:val="32"/>
          <w:szCs w:val="32"/>
        </w:rPr>
        <w:t>突出建设矿井进入二期工程前，其他建设矿井进入三期工程前，没有形成地面主要通风机供风的全风压通风系统的。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第九条  “有严重水患，未采取有效措施”重大事故隐患，是指有下列情形之一的：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（一）未查明矿井水文地质条件和井田范围内采空区、废弃老窑积水等情况而组织生产建设的；</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宋体" w:hAnsi="宋体" w:eastAsia="宋体" w:cs="宋体"/>
          <w:b/>
          <w:bCs/>
          <w:color w:val="FF0000"/>
          <w:sz w:val="21"/>
          <w:szCs w:val="21"/>
          <w:lang w:val="en-US" w:eastAsia="zh-CN"/>
        </w:rPr>
      </w:pPr>
      <w:r>
        <w:rPr>
          <w:rFonts w:hint="eastAsia" w:ascii="仿宋" w:hAnsi="仿宋" w:eastAsia="仿宋" w:cs="仿宋"/>
          <w:sz w:val="32"/>
          <w:szCs w:val="32"/>
        </w:rPr>
        <w:t>（二）水文地质类型复杂、极复杂的矿井</w:t>
      </w:r>
      <w:r>
        <w:rPr>
          <w:rFonts w:hint="eastAsia" w:ascii="仿宋" w:hAnsi="仿宋" w:eastAsia="仿宋" w:cs="仿宋"/>
          <w:sz w:val="32"/>
          <w:szCs w:val="32"/>
          <w:u w:val="single"/>
        </w:rPr>
        <w:t>未设置</w:t>
      </w:r>
      <w:r>
        <w:rPr>
          <w:rFonts w:hint="eastAsia" w:ascii="仿宋" w:hAnsi="仿宋" w:eastAsia="仿宋" w:cs="仿宋"/>
          <w:sz w:val="32"/>
          <w:szCs w:val="32"/>
        </w:rPr>
        <w:t>专门的防治水机构、</w:t>
      </w:r>
      <w:r>
        <w:rPr>
          <w:rFonts w:hint="eastAsia" w:ascii="仿宋" w:hAnsi="仿宋" w:eastAsia="仿宋" w:cs="仿宋"/>
          <w:sz w:val="32"/>
          <w:szCs w:val="32"/>
          <w:u w:val="single"/>
        </w:rPr>
        <w:t>未</w:t>
      </w:r>
      <w:r>
        <w:rPr>
          <w:rFonts w:hint="eastAsia" w:ascii="仿宋" w:hAnsi="仿宋" w:eastAsia="仿宋" w:cs="仿宋"/>
          <w:sz w:val="32"/>
          <w:szCs w:val="32"/>
        </w:rPr>
        <w:t>配备专门的探放水作业队伍，</w:t>
      </w:r>
      <w:r>
        <w:rPr>
          <w:rFonts w:hint="eastAsia" w:ascii="仿宋" w:hAnsi="仿宋" w:eastAsia="仿宋" w:cs="仿宋"/>
          <w:sz w:val="32"/>
          <w:szCs w:val="32"/>
          <w:u w:val="single"/>
        </w:rPr>
        <w:t>或者未</w:t>
      </w:r>
      <w:r>
        <w:rPr>
          <w:rFonts w:hint="eastAsia" w:ascii="仿宋" w:hAnsi="仿宋" w:eastAsia="仿宋" w:cs="仿宋"/>
          <w:sz w:val="32"/>
          <w:szCs w:val="32"/>
        </w:rPr>
        <w:t>配齐专用探放水设备的；</w:t>
      </w:r>
      <w:r>
        <w:rPr>
          <w:rFonts w:hint="eastAsia" w:ascii="宋体" w:hAnsi="宋体" w:eastAsia="宋体" w:cs="宋体"/>
          <w:b/>
          <w:bCs/>
          <w:color w:val="FF0000"/>
          <w:sz w:val="21"/>
          <w:szCs w:val="21"/>
          <w:lang w:val="en-US" w:eastAsia="zh-CN"/>
        </w:rPr>
        <w:t>《煤矿水害防治监管监察执法要点（2020年版）》煤安监调查〔2020〕19号：</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一、防治水专业技术人员</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 xml:space="preserve">1.每个煤矿必须配备满足工作需要的防治水专业技术人员； </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left"/>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2.水文地质类型复杂、极复杂的煤矿应当设立专门的防治水机构，配备防治水副总工程师，防治水专业技术人员不少于3人；</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3.防治水专业技术人员、防治水副总工程师必须受过地质、水文地质专业教育或有煤矿防治水工作经验。</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二、专门的探放水作业队伍</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1.水文地质类型简单、中等的煤矿配备探放水作业人员不少于3人；</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2.水文地质类型复杂、极复杂的煤矿配备探放水作业人员不少于6人；</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3.探放水作业人员必须取得特种作业操作证。</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三、专用探放水设备</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1.水文地质类型简单、中等的煤矿至少配备2台专用的探放水钻机及配套设备；</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2.水文地质类型复杂、极复杂的煤矿至少配备3台专用的探放水钻机及配套设备；</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仿宋_GB2312" w:hAnsi="仿宋_GB2312" w:eastAsia="仿宋_GB2312" w:cs="仿宋_GB2312"/>
          <w:color w:val="FF0000"/>
          <w:sz w:val="21"/>
          <w:szCs w:val="21"/>
          <w:lang w:val="en-US" w:eastAsia="zh-CN"/>
        </w:rPr>
      </w:pPr>
      <w:r>
        <w:rPr>
          <w:rFonts w:hint="eastAsia" w:ascii="宋体" w:hAnsi="宋体" w:eastAsia="宋体" w:cs="宋体"/>
          <w:b/>
          <w:bCs/>
          <w:color w:val="FF0000"/>
          <w:sz w:val="21"/>
          <w:szCs w:val="21"/>
          <w:lang w:val="en-US" w:eastAsia="zh-CN"/>
        </w:rPr>
        <w:t>3.严禁使用煤电钻等非专用钻机探放水</w:t>
      </w:r>
      <w:r>
        <w:rPr>
          <w:rFonts w:hint="eastAsia" w:ascii="仿宋_GB2312" w:hAnsi="仿宋_GB2312" w:eastAsia="仿宋_GB2312" w:cs="仿宋_GB2312"/>
          <w:color w:val="FF0000"/>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宋体" w:hAnsi="宋体" w:eastAsia="宋体" w:cs="宋体"/>
          <w:b/>
          <w:bCs/>
          <w:color w:val="000000"/>
          <w:sz w:val="21"/>
          <w:szCs w:val="21"/>
        </w:rPr>
      </w:pPr>
      <w:r>
        <w:rPr>
          <w:rFonts w:hint="eastAsia" w:ascii="仿宋" w:hAnsi="仿宋" w:eastAsia="仿宋" w:cs="仿宋"/>
          <w:sz w:val="32"/>
          <w:szCs w:val="32"/>
        </w:rPr>
        <w:t>（三）</w:t>
      </w:r>
      <w:r>
        <w:rPr>
          <w:rFonts w:hint="eastAsia" w:ascii="仿宋" w:hAnsi="仿宋" w:eastAsia="仿宋" w:cs="仿宋"/>
          <w:sz w:val="32"/>
          <w:szCs w:val="32"/>
          <w:u w:val="single"/>
        </w:rPr>
        <w:t>在需要</w:t>
      </w:r>
      <w:r>
        <w:rPr>
          <w:rFonts w:hint="eastAsia" w:ascii="仿宋" w:hAnsi="仿宋" w:eastAsia="仿宋" w:cs="仿宋"/>
          <w:sz w:val="32"/>
          <w:szCs w:val="32"/>
        </w:rPr>
        <w:t>探放水的区域进行采掘作业未</w:t>
      </w:r>
      <w:r>
        <w:rPr>
          <w:rFonts w:hint="eastAsia" w:ascii="仿宋" w:hAnsi="仿宋" w:eastAsia="仿宋" w:cs="仿宋"/>
          <w:sz w:val="32"/>
          <w:szCs w:val="32"/>
          <w:u w:val="single"/>
        </w:rPr>
        <w:t>按照国家规定</w:t>
      </w:r>
      <w:r>
        <w:rPr>
          <w:rFonts w:hint="eastAsia" w:ascii="仿宋" w:hAnsi="仿宋" w:eastAsia="仿宋" w:cs="仿宋"/>
          <w:sz w:val="32"/>
          <w:szCs w:val="32"/>
        </w:rPr>
        <w:t>进行探放水的；</w:t>
      </w:r>
      <w:r>
        <w:rPr>
          <w:rFonts w:hint="eastAsia" w:ascii="宋体" w:hAnsi="宋体" w:eastAsia="宋体" w:cs="宋体"/>
          <w:b/>
          <w:bCs/>
          <w:color w:val="FF0000"/>
          <w:sz w:val="21"/>
          <w:szCs w:val="21"/>
          <w:lang w:eastAsia="zh-CN"/>
        </w:rPr>
        <w:t>《煤矿安全规程》</w:t>
      </w:r>
      <w:r>
        <w:rPr>
          <w:rFonts w:hint="eastAsia" w:ascii="宋体" w:hAnsi="宋体" w:eastAsia="宋体" w:cs="宋体"/>
          <w:b/>
          <w:bCs/>
          <w:color w:val="000000"/>
          <w:sz w:val="21"/>
          <w:szCs w:val="21"/>
        </w:rPr>
        <w:t xml:space="preserve">第三百一十七条 </w:t>
      </w:r>
      <w:r>
        <w:rPr>
          <w:rFonts w:hint="eastAsia" w:ascii="宋体" w:hAnsi="宋体" w:eastAsia="宋体" w:cs="宋体"/>
          <w:b/>
          <w:bCs/>
          <w:color w:val="FF0000"/>
          <w:sz w:val="21"/>
          <w:szCs w:val="21"/>
        </w:rPr>
        <w:t>在地面无法查明水文地质条件时,应当在采掘前采用物探、钻探或者化探等方法查清采掘工作面及其周围的水文地质条件。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采掘工作面遇有下列情况之一时,应当立即停止施工,确定探水线,实施超前探放水,经确认无水害威胁后,方可施工:</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(一)接近水淹或者可能积水的井巷、老空区或者相邻煤矿时。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(二)接近含水层、导水断层、溶洞和导水陷落柱时。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(三)打开隔离煤柱放水时。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(四)接近可能与河流、湖泊、水库、蓄水池、水井等相通的导水通道时。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(五)接近有出水可能的钻孔时。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(六)接近水文地质条件不清的区域时。</w:t>
      </w:r>
    </w:p>
    <w:p>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(七)接近有积水的灌浆区时。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FF0000"/>
          <w:sz w:val="32"/>
          <w:szCs w:val="32"/>
        </w:rPr>
      </w:pPr>
      <w:r>
        <w:rPr>
          <w:rFonts w:hint="eastAsia" w:ascii="宋体" w:hAnsi="宋体" w:eastAsia="宋体" w:cs="宋体"/>
          <w:b/>
          <w:bCs/>
          <w:color w:val="FF0000"/>
          <w:kern w:val="2"/>
          <w:sz w:val="21"/>
          <w:szCs w:val="21"/>
          <w:lang w:val="en-US" w:eastAsia="zh-CN"/>
        </w:rPr>
        <w:t>(八)接近其他可能突(透)水的区域</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b/>
          <w:bCs/>
          <w:color w:val="FF0000"/>
          <w:sz w:val="21"/>
          <w:szCs w:val="21"/>
          <w:lang w:eastAsia="zh-CN"/>
        </w:rPr>
      </w:pPr>
      <w:r>
        <w:rPr>
          <w:rFonts w:hint="eastAsia" w:ascii="仿宋" w:hAnsi="仿宋" w:eastAsia="仿宋" w:cs="仿宋"/>
          <w:sz w:val="32"/>
          <w:szCs w:val="32"/>
        </w:rPr>
        <w:t>（四）未</w:t>
      </w:r>
      <w:r>
        <w:rPr>
          <w:rFonts w:hint="eastAsia" w:ascii="仿宋" w:hAnsi="仿宋" w:eastAsia="仿宋" w:cs="仿宋"/>
          <w:sz w:val="32"/>
          <w:szCs w:val="32"/>
          <w:u w:val="single"/>
        </w:rPr>
        <w:t>按照国家规定</w:t>
      </w:r>
      <w:r>
        <w:rPr>
          <w:rFonts w:hint="eastAsia" w:ascii="仿宋" w:hAnsi="仿宋" w:eastAsia="仿宋" w:cs="仿宋"/>
          <w:sz w:val="32"/>
          <w:szCs w:val="32"/>
        </w:rPr>
        <w:t>留设或者擅自开采（</w:t>
      </w:r>
      <w:r>
        <w:rPr>
          <w:rFonts w:hint="eastAsia" w:ascii="仿宋" w:hAnsi="仿宋" w:eastAsia="仿宋" w:cs="仿宋"/>
          <w:sz w:val="32"/>
          <w:szCs w:val="32"/>
          <w:u w:val="single"/>
        </w:rPr>
        <w:t>破坏</w:t>
      </w:r>
      <w:r>
        <w:rPr>
          <w:rFonts w:hint="eastAsia" w:ascii="仿宋" w:hAnsi="仿宋" w:eastAsia="仿宋" w:cs="仿宋"/>
          <w:sz w:val="32"/>
          <w:szCs w:val="32"/>
        </w:rPr>
        <w:t>）各种防隔水</w:t>
      </w:r>
      <w:r>
        <w:rPr>
          <w:rFonts w:hint="eastAsia" w:ascii="仿宋" w:hAnsi="仿宋" w:eastAsia="仿宋" w:cs="仿宋"/>
          <w:sz w:val="32"/>
          <w:szCs w:val="32"/>
          <w:u w:val="single"/>
        </w:rPr>
        <w:t>煤（岩）柱</w:t>
      </w:r>
      <w:r>
        <w:rPr>
          <w:rFonts w:hint="eastAsia" w:ascii="仿宋" w:hAnsi="仿宋" w:eastAsia="仿宋" w:cs="仿宋"/>
          <w:sz w:val="32"/>
          <w:szCs w:val="32"/>
        </w:rPr>
        <w:t>的；</w:t>
      </w:r>
      <w:r>
        <w:rPr>
          <w:rFonts w:hint="eastAsia" w:ascii="仿宋" w:hAnsi="仿宋" w:eastAsia="仿宋" w:cs="仿宋"/>
          <w:sz w:val="32"/>
          <w:szCs w:val="32"/>
          <w:lang w:val="en-US" w:eastAsia="zh-CN"/>
        </w:rPr>
        <w:t xml:space="preserve"> </w:t>
      </w:r>
      <w:r>
        <w:rPr>
          <w:rFonts w:hint="eastAsia" w:ascii="宋体" w:hAnsi="宋体" w:eastAsia="宋体" w:cs="宋体"/>
          <w:b/>
          <w:bCs/>
          <w:color w:val="FF0000"/>
          <w:sz w:val="21"/>
          <w:szCs w:val="21"/>
          <w:lang w:eastAsia="zh-CN"/>
        </w:rPr>
        <w:t>《煤矿安全规程》《防治水细则》规定：矿井边界煤柱；断层等各类防隔水煤柱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none"/>
        </w:rPr>
      </w:pPr>
      <w:r>
        <w:rPr>
          <w:rFonts w:hint="eastAsia" w:ascii="仿宋" w:hAnsi="仿宋" w:eastAsia="仿宋" w:cs="仿宋"/>
          <w:sz w:val="32"/>
          <w:szCs w:val="32"/>
        </w:rPr>
        <w:t>　　（五）有突（</w:t>
      </w:r>
      <w:r>
        <w:rPr>
          <w:rFonts w:hint="eastAsia" w:ascii="仿宋" w:hAnsi="仿宋" w:eastAsia="仿宋" w:cs="仿宋"/>
          <w:sz w:val="32"/>
          <w:szCs w:val="32"/>
          <w:u w:val="single"/>
        </w:rPr>
        <w:t>透、溃</w:t>
      </w:r>
      <w:r>
        <w:rPr>
          <w:rFonts w:hint="eastAsia" w:ascii="仿宋" w:hAnsi="仿宋" w:eastAsia="仿宋" w:cs="仿宋"/>
          <w:sz w:val="32"/>
          <w:szCs w:val="32"/>
        </w:rPr>
        <w:t>）水征兆未撤出</w:t>
      </w:r>
      <w:r>
        <w:rPr>
          <w:rFonts w:hint="eastAsia" w:ascii="仿宋" w:hAnsi="仿宋" w:eastAsia="仿宋" w:cs="仿宋"/>
          <w:sz w:val="32"/>
          <w:szCs w:val="32"/>
          <w:u w:val="single"/>
        </w:rPr>
        <w:t>井下所有受水患威胁地点</w:t>
      </w:r>
      <w:r>
        <w:rPr>
          <w:rFonts w:hint="eastAsia" w:ascii="仿宋" w:hAnsi="仿宋" w:eastAsia="仿宋" w:cs="仿宋"/>
          <w:sz w:val="32"/>
          <w:szCs w:val="32"/>
          <w:u w:val="none"/>
        </w:rPr>
        <w:t>人员的；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（六）受地表水倒灌威胁的矿井在强降雨天气或其来水上游发生洪水期间未实施停产撤人的；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（七）建设矿井进入三期工程前，未按照设计建成永久排水系统，</w:t>
      </w:r>
      <w:r>
        <w:rPr>
          <w:rFonts w:hint="eastAsia" w:ascii="仿宋" w:hAnsi="仿宋" w:eastAsia="仿宋" w:cs="仿宋"/>
          <w:sz w:val="32"/>
          <w:szCs w:val="32"/>
          <w:u w:val="single"/>
        </w:rPr>
        <w:t>或者生产矿井延深到设计水平时，未建成防、排水系统而违规开拓掘进的；</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仿宋" w:hAnsi="仿宋" w:eastAsia="仿宋" w:cs="仿宋"/>
          <w:sz w:val="32"/>
          <w:szCs w:val="32"/>
          <w:u w:val="single"/>
        </w:rPr>
        <w:t>（八）矿井主要排水系统水泵排水能力、管路和水仓容量不符合《煤矿安全规程》规定的；</w:t>
      </w:r>
      <w:r>
        <w:rPr>
          <w:rFonts w:hint="eastAsia" w:ascii="仿宋" w:hAnsi="仿宋" w:eastAsia="仿宋" w:cs="仿宋"/>
          <w:sz w:val="32"/>
          <w:szCs w:val="32"/>
          <w:u w:val="single"/>
          <w:lang w:eastAsia="zh-CN"/>
        </w:rPr>
        <w:t>（增加）</w:t>
      </w:r>
      <w:r>
        <w:rPr>
          <w:rFonts w:hint="eastAsia" w:ascii="Times New Roman" w:hAnsi="Times New Roman" w:eastAsia="方正仿宋_GBK"/>
          <w:b/>
          <w:bCs w:val="0"/>
          <w:color w:val="FF0000"/>
          <w:kern w:val="0"/>
          <w:sz w:val="21"/>
          <w:szCs w:val="21"/>
          <w:lang w:val="en-US" w:eastAsia="zh-CN"/>
        </w:rPr>
        <w:t>第三百一十一条 矿井应当配备与矿井涌水量相匹配的水泵、排水管路、配电设备和水仓等,并满足矿井排水的需要。除正在检修的水泵外,应当有工作水泵和备用水泵。工作水泵的能力,应当能在20h内排出矿井24h的正常涌水量(包括充填水及其他用水)。备用水泵的能力,应当不小于工作水泵能力的70％。检修水泵的能力,应当不小于工作水泵能力的25%。工作和备用水泵的总能力,应当能在20h内排出矿井24h的最大涌水量。</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排水管路应当有工作和备用水管。工作排水管路的能力,应当能配合工作水泵在20h内排出矿井24h的正常涌水量。工作和备用排水管路的总能力,应当能配合工作和备用水泵在20h内排出矿井24h的最大涌水量。</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配电设备的能力应当与工作、备用和检修水泵的能力相匹配,能够保证全部水泵同时运转。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sz w:val="32"/>
          <w:szCs w:val="32"/>
          <w:u w:val="single"/>
        </w:rPr>
        <w:t>（九）开采地表水体、老空水淹区域或者强含水层下急倾斜煤层，未按照国家规定消除水患威胁的。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第十条  “超层越界开采”重大事故隐患，是指有下列情形之一的：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（一）超出采矿许可证载明的开采煤层层位或者标高进行开采的；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（二）超出采矿许可证</w:t>
      </w:r>
      <w:r>
        <w:rPr>
          <w:rFonts w:hint="eastAsia" w:ascii="仿宋" w:hAnsi="仿宋" w:eastAsia="仿宋" w:cs="仿宋"/>
          <w:sz w:val="32"/>
          <w:szCs w:val="32"/>
          <w:u w:val="single"/>
        </w:rPr>
        <w:t>载明</w:t>
      </w:r>
      <w:r>
        <w:rPr>
          <w:rFonts w:hint="eastAsia" w:ascii="仿宋" w:hAnsi="仿宋" w:eastAsia="仿宋" w:cs="仿宋"/>
          <w:sz w:val="32"/>
          <w:szCs w:val="32"/>
        </w:rPr>
        <w:t>的坐标控制范围</w:t>
      </w:r>
      <w:r>
        <w:rPr>
          <w:rFonts w:hint="eastAsia" w:ascii="仿宋" w:hAnsi="仿宋" w:eastAsia="仿宋" w:cs="仿宋"/>
          <w:sz w:val="32"/>
          <w:szCs w:val="32"/>
          <w:u w:val="single"/>
        </w:rPr>
        <w:t>进行</w:t>
      </w:r>
      <w:r>
        <w:rPr>
          <w:rFonts w:hint="eastAsia" w:ascii="仿宋" w:hAnsi="仿宋" w:eastAsia="仿宋" w:cs="仿宋"/>
          <w:sz w:val="32"/>
          <w:szCs w:val="32"/>
        </w:rPr>
        <w:t>开采的；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（三）擅自开采</w:t>
      </w:r>
      <w:r>
        <w:rPr>
          <w:rFonts w:hint="eastAsia" w:ascii="仿宋" w:hAnsi="仿宋" w:eastAsia="仿宋" w:cs="仿宋"/>
          <w:sz w:val="32"/>
          <w:szCs w:val="32"/>
          <w:u w:val="single"/>
        </w:rPr>
        <w:t>（破坏）安全</w:t>
      </w:r>
      <w:r>
        <w:rPr>
          <w:rFonts w:hint="eastAsia" w:ascii="仿宋" w:hAnsi="仿宋" w:eastAsia="仿宋" w:cs="仿宋"/>
          <w:sz w:val="32"/>
          <w:szCs w:val="32"/>
        </w:rPr>
        <w:t>煤柱的。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第十一条  “有冲击地压危险，未采取有效措施”重大事故隐患，是指有下列情形之一的：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　　（一）</w:t>
      </w:r>
      <w:r>
        <w:rPr>
          <w:rFonts w:hint="eastAsia" w:ascii="仿宋" w:hAnsi="仿宋" w:eastAsia="仿宋" w:cs="仿宋"/>
          <w:sz w:val="32"/>
          <w:szCs w:val="32"/>
          <w:u w:val="single"/>
        </w:rPr>
        <w:t>未按照国家规定进行煤层（岩层）冲击倾向性鉴定，或者开采有冲击倾向性煤层未进行冲击危险性评价，或者开采冲击地压煤层，未进行采区、采掘工作面冲击危险性评价的；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（二）有冲击地压危险的矿井</w:t>
      </w:r>
      <w:r>
        <w:rPr>
          <w:rFonts w:hint="eastAsia" w:ascii="仿宋" w:hAnsi="仿宋" w:eastAsia="仿宋" w:cs="仿宋"/>
          <w:sz w:val="32"/>
          <w:szCs w:val="32"/>
          <w:u w:val="single"/>
        </w:rPr>
        <w:t>未设置专门的防冲机构、</w:t>
      </w:r>
      <w:r>
        <w:rPr>
          <w:rFonts w:hint="eastAsia" w:ascii="仿宋" w:hAnsi="仿宋" w:eastAsia="仿宋" w:cs="仿宋"/>
          <w:sz w:val="32"/>
          <w:szCs w:val="32"/>
        </w:rPr>
        <w:t>未配备专业人员</w:t>
      </w:r>
      <w:r>
        <w:rPr>
          <w:rFonts w:hint="eastAsia" w:ascii="仿宋" w:hAnsi="仿宋" w:eastAsia="仿宋" w:cs="仿宋"/>
          <w:sz w:val="32"/>
          <w:szCs w:val="32"/>
          <w:u w:val="single"/>
        </w:rPr>
        <w:t>或者</w:t>
      </w:r>
      <w:r>
        <w:rPr>
          <w:rFonts w:hint="eastAsia" w:ascii="仿宋" w:hAnsi="仿宋" w:eastAsia="仿宋" w:cs="仿宋"/>
          <w:sz w:val="32"/>
          <w:szCs w:val="32"/>
        </w:rPr>
        <w:t>未编制专门设计的；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（三）未进行冲击地压危险性预测，或者未进行防冲措施</w:t>
      </w:r>
      <w:r>
        <w:rPr>
          <w:rFonts w:hint="eastAsia" w:ascii="仿宋" w:hAnsi="仿宋" w:eastAsia="仿宋" w:cs="仿宋"/>
          <w:sz w:val="32"/>
          <w:szCs w:val="32"/>
          <w:u w:val="single"/>
        </w:rPr>
        <w:t>效果检验以及防冲措施效果检验不达标</w:t>
      </w:r>
      <w:r>
        <w:rPr>
          <w:rFonts w:hint="eastAsia" w:ascii="仿宋" w:hAnsi="仿宋" w:eastAsia="仿宋" w:cs="仿宋"/>
          <w:sz w:val="32"/>
          <w:szCs w:val="32"/>
        </w:rPr>
        <w:t>仍组织生产建设的；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w:t>
      </w:r>
      <w:r>
        <w:rPr>
          <w:rFonts w:hint="eastAsia" w:ascii="仿宋" w:hAnsi="仿宋" w:eastAsia="仿宋" w:cs="仿宋"/>
          <w:sz w:val="32"/>
          <w:szCs w:val="32"/>
          <w:u w:val="single"/>
        </w:rPr>
        <w:t>（四）开采冲击地压煤层时，违规开采孤岛煤柱，采掘工作面位置、间距不符合国家规定，或者开采顺序不合理、采掘速度不符合国家规定、违反国家规定布置巷道或者留设煤（岩）柱造成应力集中的；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w:t>
      </w:r>
      <w:r>
        <w:rPr>
          <w:rFonts w:hint="eastAsia" w:ascii="仿宋" w:hAnsi="仿宋" w:eastAsia="仿宋" w:cs="仿宋"/>
          <w:sz w:val="32"/>
          <w:szCs w:val="32"/>
          <w:u w:val="single"/>
        </w:rPr>
        <w:t>）未制定或者未严格执行冲击地压危险区域人员准入制度的。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第十二条  “自然发火严重，未采取有效措施”重大事故隐患，是指有下列情形之一的：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（一）开采容易自燃和自燃煤层的矿井，未编制</w:t>
      </w:r>
      <w:r>
        <w:rPr>
          <w:rFonts w:hint="eastAsia" w:ascii="仿宋" w:hAnsi="仿宋" w:eastAsia="仿宋" w:cs="仿宋"/>
          <w:sz w:val="32"/>
          <w:szCs w:val="32"/>
          <w:u w:val="single"/>
        </w:rPr>
        <w:t>防灭火专项</w:t>
      </w:r>
      <w:r>
        <w:rPr>
          <w:rFonts w:hint="eastAsia" w:ascii="仿宋" w:hAnsi="仿宋" w:eastAsia="仿宋" w:cs="仿宋"/>
          <w:sz w:val="32"/>
          <w:szCs w:val="32"/>
        </w:rPr>
        <w:t>设计或者</w:t>
      </w:r>
      <w:r>
        <w:rPr>
          <w:rFonts w:hint="eastAsia" w:ascii="仿宋" w:hAnsi="仿宋" w:eastAsia="仿宋" w:cs="仿宋"/>
          <w:sz w:val="32"/>
          <w:szCs w:val="32"/>
          <w:u w:val="single"/>
        </w:rPr>
        <w:t>未采取综合防灭火措施的；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（二）高瓦斯矿井采用放顶煤采煤法不能有效防治煤层自然发火的；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（三）有自然发火征兆没有采取相应的安全防范措施继续生产建设的；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u w:val="single"/>
          <w:lang w:eastAsia="zh-CN"/>
        </w:rPr>
      </w:pPr>
      <w:r>
        <w:rPr>
          <w:rFonts w:hint="eastAsia" w:ascii="仿宋" w:hAnsi="仿宋" w:eastAsia="仿宋" w:cs="仿宋"/>
          <w:sz w:val="32"/>
          <w:szCs w:val="32"/>
          <w:u w:val="single"/>
        </w:rPr>
        <w:t>（四）违反《煤矿安全规程》规定启封火区的。</w:t>
      </w:r>
      <w:r>
        <w:rPr>
          <w:rFonts w:hint="eastAsia" w:ascii="仿宋" w:hAnsi="仿宋" w:eastAsia="仿宋" w:cs="仿宋"/>
          <w:sz w:val="32"/>
          <w:szCs w:val="32"/>
          <w:u w:val="single"/>
          <w:lang w:eastAsia="zh-CN"/>
        </w:rPr>
        <w:t>（增加）</w:t>
      </w:r>
    </w:p>
    <w:p>
      <w:pPr>
        <w:ind w:firstLine="640"/>
        <w:jc w:val="left"/>
        <w:rPr>
          <w:rFonts w:hint="eastAsia" w:ascii="Times New Roman" w:hAnsi="Times New Roman" w:eastAsia="方正仿宋_GBK"/>
          <w:b/>
          <w:bCs/>
          <w:color w:val="FF0000"/>
          <w:kern w:val="0"/>
          <w:sz w:val="21"/>
          <w:szCs w:val="21"/>
          <w:lang w:val="en-US" w:eastAsia="zh-CN"/>
        </w:rPr>
      </w:pPr>
      <w:r>
        <w:rPr>
          <w:rFonts w:hint="eastAsia" w:asciiTheme="minorEastAsia" w:hAnsiTheme="minorEastAsia" w:eastAsiaTheme="minorEastAsia" w:cstheme="minorEastAsia"/>
          <w:b/>
          <w:bCs/>
          <w:color w:val="FF0000"/>
          <w:sz w:val="21"/>
          <w:szCs w:val="21"/>
          <w:vertAlign w:val="baseline"/>
          <w:lang w:val="en-US" w:eastAsia="zh-CN"/>
        </w:rPr>
        <w:t>第二百八十条 启</w:t>
      </w:r>
      <w:r>
        <w:rPr>
          <w:rFonts w:hint="eastAsia" w:ascii="Times New Roman" w:hAnsi="Times New Roman" w:eastAsia="方正仿宋_GBK"/>
          <w:b/>
          <w:bCs/>
          <w:color w:val="FF0000"/>
          <w:kern w:val="0"/>
          <w:sz w:val="21"/>
          <w:szCs w:val="21"/>
          <w:lang w:val="en-US" w:eastAsia="zh-CN"/>
        </w:rPr>
        <w:t>封已熄灭的火区前,必须制定安全措施。</w:t>
      </w:r>
    </w:p>
    <w:p>
      <w:pPr>
        <w:ind w:firstLine="640"/>
        <w:jc w:val="left"/>
        <w:rPr>
          <w:rFonts w:hint="eastAsia" w:ascii="Times New Roman" w:hAnsi="Times New Roman" w:eastAsia="方正仿宋_GBK"/>
          <w:b/>
          <w:bCs/>
          <w:color w:val="FF0000"/>
          <w:kern w:val="0"/>
          <w:sz w:val="21"/>
          <w:szCs w:val="21"/>
          <w:lang w:val="en-US" w:eastAsia="zh-CN"/>
        </w:rPr>
      </w:pPr>
      <w:r>
        <w:rPr>
          <w:rFonts w:hint="eastAsia" w:ascii="Times New Roman" w:hAnsi="Times New Roman" w:eastAsia="方正仿宋_GBK"/>
          <w:b/>
          <w:bCs/>
          <w:color w:val="FF0000"/>
          <w:kern w:val="0"/>
          <w:sz w:val="21"/>
          <w:szCs w:val="21"/>
          <w:lang w:val="en-US" w:eastAsia="zh-CN"/>
        </w:rPr>
        <w:t>启封火区时,应当逐段恢复通风,同时测定回风流中一氧化碳、甲烷浓度和风流温度。发现复燃征兆时,必须立即停止向火区送风,并重新封闭火区。</w:t>
      </w:r>
    </w:p>
    <w:p>
      <w:pPr>
        <w:ind w:firstLine="640"/>
        <w:jc w:val="left"/>
        <w:rPr>
          <w:rFonts w:hint="eastAsia" w:ascii="Times New Roman" w:hAnsi="Times New Roman" w:eastAsia="方正仿宋_GBK"/>
          <w:b/>
          <w:bCs/>
          <w:color w:val="FF0000"/>
          <w:kern w:val="0"/>
          <w:sz w:val="21"/>
          <w:szCs w:val="21"/>
          <w:lang w:val="en-US" w:eastAsia="zh-CN"/>
        </w:rPr>
      </w:pPr>
      <w:r>
        <w:rPr>
          <w:rFonts w:hint="eastAsia" w:ascii="Times New Roman" w:hAnsi="Times New Roman" w:eastAsia="方正仿宋_GBK"/>
          <w:b/>
          <w:bCs/>
          <w:color w:val="FF0000"/>
          <w:kern w:val="0"/>
          <w:sz w:val="21"/>
          <w:szCs w:val="21"/>
          <w:lang w:val="en-US" w:eastAsia="zh-CN"/>
        </w:rPr>
        <w:t>启封火区和恢复火区初期通风等工作,必须由矿山救护队负责进行,火区回风风流所经过巷道中的人员必须全部撤出。</w:t>
      </w:r>
    </w:p>
    <w:p>
      <w:pPr>
        <w:ind w:firstLine="640"/>
        <w:jc w:val="left"/>
        <w:rPr>
          <w:rFonts w:hint="eastAsia" w:ascii="Times New Roman" w:hAnsi="Times New Roman" w:eastAsia="方正仿宋_GBK"/>
          <w:b/>
          <w:bCs/>
          <w:color w:val="FF0000"/>
          <w:kern w:val="0"/>
          <w:sz w:val="21"/>
          <w:szCs w:val="21"/>
          <w:lang w:val="en-US" w:eastAsia="zh-CN"/>
        </w:rPr>
      </w:pPr>
      <w:r>
        <w:rPr>
          <w:rFonts w:hint="eastAsia" w:ascii="Times New Roman" w:hAnsi="Times New Roman" w:eastAsia="方正仿宋_GBK"/>
          <w:b/>
          <w:bCs/>
          <w:color w:val="FF0000"/>
          <w:kern w:val="0"/>
          <w:sz w:val="21"/>
          <w:szCs w:val="21"/>
          <w:lang w:val="en-US" w:eastAsia="zh-CN"/>
        </w:rPr>
        <w:t>在启封火区工作完毕后的3天内,每班必须由矿山救护队检查通风工作,并测定水温、空气温度和空气成分。只有在确认火区完全熄灭、通风等情况良好后,方可进行生产工作。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第十三条  “使用明令禁止使用或者淘汰的设备、工艺”重大事故隐患，是指有下列情形之一的：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（一）使用被列入国家</w:t>
      </w:r>
      <w:r>
        <w:rPr>
          <w:rFonts w:hint="eastAsia" w:ascii="仿宋" w:hAnsi="仿宋" w:eastAsia="仿宋" w:cs="仿宋"/>
          <w:sz w:val="32"/>
          <w:szCs w:val="32"/>
          <w:u w:val="single"/>
        </w:rPr>
        <w:t>禁止井工</w:t>
      </w:r>
      <w:r>
        <w:rPr>
          <w:rFonts w:hint="eastAsia" w:ascii="仿宋" w:hAnsi="仿宋" w:eastAsia="仿宋" w:cs="仿宋"/>
          <w:sz w:val="32"/>
          <w:szCs w:val="32"/>
        </w:rPr>
        <w:t>煤矿</w:t>
      </w:r>
      <w:r>
        <w:rPr>
          <w:rFonts w:hint="eastAsia" w:ascii="仿宋" w:hAnsi="仿宋" w:eastAsia="仿宋" w:cs="仿宋"/>
          <w:sz w:val="32"/>
          <w:szCs w:val="32"/>
          <w:u w:val="single"/>
        </w:rPr>
        <w:t>使用的</w:t>
      </w:r>
      <w:r>
        <w:rPr>
          <w:rFonts w:hint="eastAsia" w:ascii="仿宋" w:hAnsi="仿宋" w:eastAsia="仿宋" w:cs="仿宋"/>
          <w:sz w:val="32"/>
          <w:szCs w:val="32"/>
        </w:rPr>
        <w:t>设备及工艺目录的产品或者工艺的；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none"/>
        </w:rPr>
      </w:pPr>
      <w:r>
        <w:rPr>
          <w:rFonts w:hint="eastAsia" w:ascii="仿宋" w:hAnsi="仿宋" w:eastAsia="仿宋" w:cs="仿宋"/>
          <w:sz w:val="32"/>
          <w:szCs w:val="32"/>
        </w:rPr>
        <w:t>　　（二）井下电气设备、</w:t>
      </w:r>
      <w:r>
        <w:rPr>
          <w:rFonts w:hint="eastAsia" w:ascii="仿宋" w:hAnsi="仿宋" w:eastAsia="仿宋" w:cs="仿宋"/>
          <w:sz w:val="32"/>
          <w:szCs w:val="32"/>
          <w:u w:val="single"/>
        </w:rPr>
        <w:t>电缆</w:t>
      </w:r>
      <w:r>
        <w:rPr>
          <w:rFonts w:hint="eastAsia" w:ascii="仿宋" w:hAnsi="仿宋" w:eastAsia="仿宋" w:cs="仿宋"/>
          <w:sz w:val="32"/>
          <w:szCs w:val="32"/>
          <w:u w:val="none"/>
        </w:rPr>
        <w:t>未取得煤矿矿用产品安全标志的；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（三）</w:t>
      </w:r>
      <w:r>
        <w:rPr>
          <w:rFonts w:hint="eastAsia" w:ascii="仿宋" w:hAnsi="仿宋" w:eastAsia="仿宋" w:cs="仿宋"/>
          <w:sz w:val="32"/>
          <w:szCs w:val="32"/>
          <w:u w:val="single"/>
        </w:rPr>
        <w:t>井下电气设备选型与矿井瓦斯等级不符，或者采（盘）区内防爆型电气设备存在失爆，或者井下使用非防爆无轨胶轮车的；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（四）未</w:t>
      </w:r>
      <w:r>
        <w:rPr>
          <w:rFonts w:hint="eastAsia" w:ascii="仿宋" w:hAnsi="仿宋" w:eastAsia="仿宋" w:cs="仿宋"/>
          <w:sz w:val="32"/>
          <w:szCs w:val="32"/>
          <w:u w:val="single"/>
        </w:rPr>
        <w:t>按照</w:t>
      </w:r>
      <w:r>
        <w:rPr>
          <w:rFonts w:hint="eastAsia" w:ascii="仿宋" w:hAnsi="仿宋" w:eastAsia="仿宋" w:cs="仿宋"/>
          <w:sz w:val="32"/>
          <w:szCs w:val="32"/>
        </w:rPr>
        <w:t>矿井瓦斯等级选用相应的煤矿许用炸药和雷管、未使用专用发爆器，或者</w:t>
      </w:r>
      <w:r>
        <w:rPr>
          <w:rFonts w:hint="eastAsia" w:ascii="仿宋" w:hAnsi="仿宋" w:eastAsia="仿宋" w:cs="仿宋"/>
          <w:sz w:val="32"/>
          <w:szCs w:val="32"/>
          <w:u w:val="single"/>
        </w:rPr>
        <w:t>裸露爆破</w:t>
      </w:r>
      <w:r>
        <w:rPr>
          <w:rFonts w:hint="eastAsia" w:ascii="仿宋" w:hAnsi="仿宋" w:eastAsia="仿宋" w:cs="仿宋"/>
          <w:sz w:val="32"/>
          <w:szCs w:val="32"/>
        </w:rPr>
        <w:t>的；</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仿宋" w:hAnsi="仿宋" w:eastAsia="仿宋" w:cs="仿宋"/>
          <w:sz w:val="32"/>
          <w:szCs w:val="32"/>
        </w:rPr>
      </w:pPr>
      <w:r>
        <w:rPr>
          <w:rFonts w:hint="eastAsia" w:ascii="仿宋" w:hAnsi="仿宋" w:eastAsia="仿宋" w:cs="仿宋"/>
          <w:sz w:val="32"/>
          <w:szCs w:val="32"/>
        </w:rPr>
        <w:t>（五）采煤工作面不能保证2个畅通的安全出口的；</w:t>
      </w:r>
    </w:p>
    <w:p>
      <w:pPr>
        <w:ind w:firstLine="640"/>
        <w:jc w:val="left"/>
        <w:rPr>
          <w:rFonts w:hint="eastAsia" w:ascii="Times New Roman" w:hAnsi="Times New Roman" w:eastAsia="方正仿宋_GBK"/>
          <w:b/>
          <w:bCs w:val="0"/>
          <w:color w:val="FF0000"/>
          <w:kern w:val="0"/>
          <w:sz w:val="21"/>
          <w:szCs w:val="21"/>
          <w:lang w:val="en-US" w:eastAsia="zh-CN"/>
        </w:rPr>
      </w:pPr>
      <w:r>
        <w:rPr>
          <w:rFonts w:hint="eastAsia" w:ascii="Times New Roman" w:hAnsi="Times New Roman" w:eastAsia="方正仿宋_GBK"/>
          <w:b/>
          <w:bCs w:val="0"/>
          <w:color w:val="FF0000"/>
          <w:kern w:val="0"/>
          <w:sz w:val="21"/>
          <w:szCs w:val="21"/>
          <w:lang w:val="en-US" w:eastAsia="zh-CN"/>
        </w:rPr>
        <w:t>《煤矿安全规程》第九十七条 采煤工作面必须保持至少2个畅通的安全出口,一个通到进风巷道,另一个通到回风巷道。采煤工作面所有安全出口与巷道连接处超前压力影响范围内必须加强支护,且加强支护的巷道长度不得小于20m;综合机械化采煤工作面,此范围内的巷道高度不得低于1.8m,其他采煤工作面,此范围内的巷道高度不得低于1.6m。安全出口和与之相连接的巷道必须设专人维护,发生支架断梁折柱、巷道底鼓变形时,必须及时更换、清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（六）高瓦斯矿井、煤与瓦斯突出矿井、开采容易自燃和自燃煤层（薄煤层除外）矿井，采煤工作面采用前进式采煤方法的。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第十四条  “煤矿没有双回路供电系统”重大事故隐患，是指有下列情形之一的：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（一）单回路供电的；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（二）有两回路</w:t>
      </w:r>
      <w:r>
        <w:rPr>
          <w:rFonts w:hint="eastAsia" w:ascii="仿宋" w:hAnsi="仿宋" w:eastAsia="仿宋" w:cs="仿宋"/>
          <w:sz w:val="32"/>
          <w:szCs w:val="32"/>
          <w:u w:val="single"/>
        </w:rPr>
        <w:t>电源线路</w:t>
      </w:r>
      <w:r>
        <w:rPr>
          <w:rFonts w:hint="eastAsia" w:ascii="仿宋" w:hAnsi="仿宋" w:eastAsia="仿宋" w:cs="仿宋"/>
          <w:sz w:val="32"/>
          <w:szCs w:val="32"/>
        </w:rPr>
        <w:t>但取自一个区域变电所同一母线</w:t>
      </w:r>
      <w:r>
        <w:rPr>
          <w:rFonts w:hint="eastAsia" w:ascii="仿宋" w:hAnsi="仿宋" w:eastAsia="仿宋" w:cs="仿宋"/>
          <w:sz w:val="32"/>
          <w:szCs w:val="32"/>
          <w:u w:val="single"/>
        </w:rPr>
        <w:t>段的</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（三）进入二期工程的高瓦斯、煤与瓦斯突出、</w:t>
      </w:r>
      <w:r>
        <w:rPr>
          <w:rFonts w:hint="eastAsia" w:ascii="仿宋" w:hAnsi="仿宋" w:eastAsia="仿宋" w:cs="仿宋"/>
          <w:sz w:val="32"/>
          <w:szCs w:val="32"/>
          <w:u w:val="single"/>
        </w:rPr>
        <w:t>水文地质类型为复杂和极复杂</w:t>
      </w:r>
      <w:r>
        <w:rPr>
          <w:rFonts w:hint="eastAsia" w:ascii="仿宋" w:hAnsi="仿宋" w:eastAsia="仿宋" w:cs="仿宋"/>
          <w:sz w:val="32"/>
          <w:szCs w:val="32"/>
        </w:rPr>
        <w:t>的建设矿井，</w:t>
      </w:r>
      <w:r>
        <w:rPr>
          <w:rFonts w:hint="eastAsia" w:ascii="仿宋" w:hAnsi="仿宋" w:eastAsia="仿宋" w:cs="仿宋"/>
          <w:sz w:val="32"/>
          <w:szCs w:val="32"/>
          <w:u w:val="single"/>
        </w:rPr>
        <w:t>以及</w:t>
      </w:r>
      <w:r>
        <w:rPr>
          <w:rFonts w:hint="eastAsia" w:ascii="仿宋" w:hAnsi="仿宋" w:eastAsia="仿宋" w:cs="仿宋"/>
          <w:sz w:val="32"/>
          <w:szCs w:val="32"/>
        </w:rPr>
        <w:t>进入三期工程的其他建设矿井，</w:t>
      </w:r>
      <w:r>
        <w:rPr>
          <w:rFonts w:hint="eastAsia" w:ascii="仿宋" w:hAnsi="仿宋" w:eastAsia="仿宋" w:cs="仿宋"/>
          <w:sz w:val="32"/>
          <w:szCs w:val="32"/>
          <w:u w:val="single"/>
        </w:rPr>
        <w:t>未</w:t>
      </w:r>
      <w:r>
        <w:rPr>
          <w:rFonts w:hint="eastAsia" w:ascii="仿宋" w:hAnsi="仿宋" w:eastAsia="仿宋" w:cs="仿宋"/>
          <w:sz w:val="32"/>
          <w:szCs w:val="32"/>
        </w:rPr>
        <w:t>形成两回路供电的。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第十五条  “新建煤矿边建设边生产，煤矿改扩建期间，在改扩建的区域生产，或者在其他区域的生产超出安全设施设计规定的范围和规模”重大事故隐患，是指有下列情形之一的：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（一）建设项目安全设施设计未经</w:t>
      </w:r>
      <w:r>
        <w:rPr>
          <w:rFonts w:hint="eastAsia" w:ascii="仿宋" w:hAnsi="仿宋" w:eastAsia="仿宋" w:cs="仿宋"/>
          <w:sz w:val="32"/>
          <w:szCs w:val="32"/>
          <w:u w:val="single"/>
        </w:rPr>
        <w:t>审查</w:t>
      </w:r>
      <w:r>
        <w:rPr>
          <w:rFonts w:hint="eastAsia" w:ascii="仿宋" w:hAnsi="仿宋" w:eastAsia="仿宋" w:cs="仿宋"/>
          <w:sz w:val="32"/>
          <w:szCs w:val="32"/>
        </w:rPr>
        <w:t>批准，或者审查批准</w:t>
      </w:r>
      <w:r>
        <w:rPr>
          <w:rFonts w:hint="eastAsia" w:ascii="仿宋" w:hAnsi="仿宋" w:eastAsia="仿宋" w:cs="仿宋"/>
          <w:sz w:val="32"/>
          <w:szCs w:val="32"/>
          <w:u w:val="single"/>
        </w:rPr>
        <w:t>后作出</w:t>
      </w:r>
      <w:r>
        <w:rPr>
          <w:rFonts w:hint="eastAsia" w:ascii="仿宋" w:hAnsi="仿宋" w:eastAsia="仿宋" w:cs="仿宋"/>
          <w:sz w:val="32"/>
          <w:szCs w:val="32"/>
        </w:rPr>
        <w:t>重大变更未经</w:t>
      </w:r>
      <w:r>
        <w:rPr>
          <w:rFonts w:hint="eastAsia" w:ascii="仿宋" w:hAnsi="仿宋" w:eastAsia="仿宋" w:cs="仿宋"/>
          <w:sz w:val="32"/>
          <w:szCs w:val="32"/>
          <w:u w:val="single"/>
        </w:rPr>
        <w:t>再次审查</w:t>
      </w:r>
      <w:r>
        <w:rPr>
          <w:rFonts w:hint="eastAsia" w:ascii="仿宋" w:hAnsi="仿宋" w:eastAsia="仿宋" w:cs="仿宋"/>
          <w:sz w:val="32"/>
          <w:szCs w:val="32"/>
          <w:u w:val="none"/>
        </w:rPr>
        <w:t>批</w:t>
      </w:r>
      <w:r>
        <w:rPr>
          <w:rFonts w:hint="eastAsia" w:ascii="仿宋" w:hAnsi="仿宋" w:eastAsia="仿宋" w:cs="仿宋"/>
          <w:sz w:val="32"/>
          <w:szCs w:val="32"/>
        </w:rPr>
        <w:t>准擅自组织施工的；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w:t>
      </w:r>
      <w:r>
        <w:rPr>
          <w:rFonts w:hint="eastAsia" w:ascii="仿宋" w:hAnsi="仿宋" w:eastAsia="仿宋" w:cs="仿宋"/>
          <w:sz w:val="32"/>
          <w:szCs w:val="32"/>
          <w:u w:val="single"/>
        </w:rPr>
        <w:t>（二）新建煤矿在建设期间组织采煤的（经批准的联合试运转除外）；</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（三）改扩建矿井在改扩建区域生产的；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（四）改扩建矿井在非改扩建区域超出设计规定范围和规模生产的。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第十六条  “煤矿实行整体承包生产经营后，未重新取得或者及时变更安全生产许可证而从事生产，或者承包方再次转包，以及将井下采掘工作面和井巷维修作业进行劳务承包”重大事故隐患，是指有下列情形之一的：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（一）煤矿</w:t>
      </w:r>
      <w:r>
        <w:rPr>
          <w:rFonts w:hint="eastAsia" w:ascii="仿宋" w:hAnsi="仿宋" w:eastAsia="仿宋" w:cs="仿宋"/>
          <w:sz w:val="32"/>
          <w:szCs w:val="32"/>
          <w:u w:val="single"/>
        </w:rPr>
        <w:t>未采取整体</w:t>
      </w:r>
      <w:r>
        <w:rPr>
          <w:rFonts w:hint="eastAsia" w:ascii="仿宋" w:hAnsi="仿宋" w:eastAsia="仿宋" w:cs="仿宋"/>
          <w:sz w:val="32"/>
          <w:szCs w:val="32"/>
        </w:rPr>
        <w:t>承包</w:t>
      </w:r>
      <w:r>
        <w:rPr>
          <w:rFonts w:hint="eastAsia" w:ascii="仿宋" w:hAnsi="仿宋" w:eastAsia="仿宋" w:cs="仿宋"/>
          <w:sz w:val="32"/>
          <w:szCs w:val="32"/>
          <w:u w:val="single"/>
        </w:rPr>
        <w:t>形式进行发包</w:t>
      </w:r>
      <w:r>
        <w:rPr>
          <w:rFonts w:hint="eastAsia" w:ascii="仿宋" w:hAnsi="仿宋" w:eastAsia="仿宋" w:cs="仿宋"/>
          <w:sz w:val="32"/>
          <w:szCs w:val="32"/>
        </w:rPr>
        <w:t>，或者将</w:t>
      </w:r>
      <w:r>
        <w:rPr>
          <w:rFonts w:hint="eastAsia" w:ascii="仿宋" w:hAnsi="仿宋" w:eastAsia="仿宋" w:cs="仿宋"/>
          <w:sz w:val="32"/>
          <w:szCs w:val="32"/>
          <w:u w:val="single"/>
        </w:rPr>
        <w:t>煤矿整体发</w:t>
      </w:r>
      <w:r>
        <w:rPr>
          <w:rFonts w:hint="eastAsia" w:ascii="仿宋" w:hAnsi="仿宋" w:eastAsia="仿宋" w:cs="仿宋"/>
          <w:sz w:val="32"/>
          <w:szCs w:val="32"/>
        </w:rPr>
        <w:t>包给</w:t>
      </w:r>
      <w:r>
        <w:rPr>
          <w:rFonts w:hint="eastAsia" w:ascii="仿宋" w:hAnsi="仿宋" w:eastAsia="仿宋" w:cs="仿宋"/>
          <w:sz w:val="32"/>
          <w:szCs w:val="32"/>
          <w:u w:val="single"/>
        </w:rPr>
        <w:t>不具有法人资格或者未取得</w:t>
      </w:r>
      <w:r>
        <w:rPr>
          <w:rFonts w:hint="eastAsia" w:ascii="仿宋" w:hAnsi="仿宋" w:eastAsia="仿宋" w:cs="仿宋"/>
          <w:sz w:val="32"/>
          <w:szCs w:val="32"/>
        </w:rPr>
        <w:t>合法有效</w:t>
      </w:r>
      <w:r>
        <w:rPr>
          <w:rFonts w:hint="eastAsia" w:ascii="仿宋" w:hAnsi="仿宋" w:eastAsia="仿宋" w:cs="仿宋"/>
          <w:sz w:val="32"/>
          <w:szCs w:val="32"/>
          <w:u w:val="single"/>
        </w:rPr>
        <w:t>营业执照</w:t>
      </w:r>
      <w:r>
        <w:rPr>
          <w:rFonts w:hint="eastAsia" w:ascii="仿宋" w:hAnsi="仿宋" w:eastAsia="仿宋" w:cs="仿宋"/>
          <w:sz w:val="32"/>
          <w:szCs w:val="32"/>
        </w:rPr>
        <w:t>的单位或者个人的；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w:t>
      </w:r>
      <w:r>
        <w:rPr>
          <w:rFonts w:hint="eastAsia" w:ascii="仿宋" w:hAnsi="仿宋" w:eastAsia="仿宋" w:cs="仿宋"/>
          <w:sz w:val="32"/>
          <w:szCs w:val="32"/>
          <w:u w:val="single"/>
        </w:rPr>
        <w:t>实行整体</w:t>
      </w:r>
      <w:r>
        <w:rPr>
          <w:rFonts w:hint="eastAsia" w:ascii="仿宋" w:hAnsi="仿宋" w:eastAsia="仿宋" w:cs="仿宋"/>
          <w:sz w:val="32"/>
          <w:szCs w:val="32"/>
          <w:u w:val="none"/>
        </w:rPr>
        <w:t>承包</w:t>
      </w:r>
      <w:r>
        <w:rPr>
          <w:rFonts w:hint="eastAsia" w:ascii="仿宋" w:hAnsi="仿宋" w:eastAsia="仿宋" w:cs="仿宋"/>
          <w:sz w:val="32"/>
          <w:szCs w:val="32"/>
          <w:u w:val="single"/>
        </w:rPr>
        <w:t>的煤矿</w:t>
      </w:r>
      <w:r>
        <w:rPr>
          <w:rFonts w:hint="eastAsia" w:ascii="仿宋" w:hAnsi="仿宋" w:eastAsia="仿宋" w:cs="仿宋"/>
          <w:sz w:val="32"/>
          <w:szCs w:val="32"/>
        </w:rPr>
        <w:t>，未签订安全生产管理协议，或者未按照国家规定约定双方安全生产管理职责而进行生产的；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w:t>
      </w:r>
      <w:r>
        <w:rPr>
          <w:rFonts w:hint="eastAsia" w:ascii="仿宋" w:hAnsi="仿宋" w:eastAsia="仿宋" w:cs="仿宋"/>
          <w:sz w:val="32"/>
          <w:szCs w:val="32"/>
          <w:u w:val="single"/>
        </w:rPr>
        <w:t>实行整体承包的煤矿</w:t>
      </w:r>
      <w:r>
        <w:rPr>
          <w:rFonts w:hint="eastAsia" w:ascii="仿宋" w:hAnsi="仿宋" w:eastAsia="仿宋" w:cs="仿宋"/>
          <w:sz w:val="32"/>
          <w:szCs w:val="32"/>
        </w:rPr>
        <w:t>，未</w:t>
      </w:r>
      <w:r>
        <w:rPr>
          <w:rFonts w:hint="eastAsia" w:ascii="仿宋" w:hAnsi="仿宋" w:eastAsia="仿宋" w:cs="仿宋"/>
          <w:sz w:val="32"/>
          <w:szCs w:val="32"/>
          <w:u w:val="single"/>
        </w:rPr>
        <w:t>重新取得或者</w:t>
      </w:r>
      <w:r>
        <w:rPr>
          <w:rFonts w:hint="eastAsia" w:ascii="仿宋" w:hAnsi="仿宋" w:eastAsia="仿宋" w:cs="仿宋"/>
          <w:sz w:val="32"/>
          <w:szCs w:val="32"/>
        </w:rPr>
        <w:t>变更安全生产许可证进行生产的；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none"/>
        </w:rPr>
      </w:pPr>
      <w:r>
        <w:rPr>
          <w:rFonts w:hint="eastAsia" w:ascii="仿宋" w:hAnsi="仿宋" w:eastAsia="仿宋" w:cs="仿宋"/>
          <w:sz w:val="32"/>
          <w:szCs w:val="32"/>
        </w:rPr>
        <w:t>　　</w:t>
      </w:r>
      <w:r>
        <w:rPr>
          <w:rFonts w:hint="eastAsia" w:ascii="仿宋" w:hAnsi="仿宋" w:eastAsia="仿宋" w:cs="仿宋"/>
          <w:sz w:val="32"/>
          <w:szCs w:val="32"/>
          <w:u w:val="none"/>
        </w:rPr>
        <w:t>（四）</w:t>
      </w:r>
      <w:r>
        <w:rPr>
          <w:rFonts w:hint="eastAsia" w:ascii="仿宋" w:hAnsi="仿宋" w:eastAsia="仿宋" w:cs="仿宋"/>
          <w:sz w:val="32"/>
          <w:szCs w:val="32"/>
          <w:u w:val="single"/>
        </w:rPr>
        <w:t>实行整体承包的煤矿</w:t>
      </w:r>
      <w:r>
        <w:rPr>
          <w:rFonts w:hint="eastAsia" w:ascii="仿宋" w:hAnsi="仿宋" w:eastAsia="仿宋" w:cs="仿宋"/>
          <w:sz w:val="32"/>
          <w:szCs w:val="32"/>
          <w:u w:val="none"/>
        </w:rPr>
        <w:t>，承包方再次将煤矿</w:t>
      </w:r>
      <w:r>
        <w:rPr>
          <w:rFonts w:hint="eastAsia" w:ascii="仿宋" w:hAnsi="仿宋" w:eastAsia="仿宋" w:cs="仿宋"/>
          <w:sz w:val="32"/>
          <w:szCs w:val="32"/>
          <w:u w:val="single"/>
        </w:rPr>
        <w:t>转包</w:t>
      </w:r>
      <w:r>
        <w:rPr>
          <w:rFonts w:hint="eastAsia" w:ascii="仿宋" w:hAnsi="仿宋" w:eastAsia="仿宋" w:cs="仿宋"/>
          <w:sz w:val="32"/>
          <w:szCs w:val="32"/>
          <w:u w:val="none"/>
        </w:rPr>
        <w:t>给其他单位或者个人的；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（五）井工煤矿将井下采掘作业或者井巷维修作业</w:t>
      </w:r>
      <w:r>
        <w:rPr>
          <w:rFonts w:hint="eastAsia" w:ascii="仿宋" w:hAnsi="仿宋" w:eastAsia="仿宋" w:cs="仿宋"/>
          <w:sz w:val="32"/>
          <w:szCs w:val="32"/>
          <w:u w:val="single"/>
        </w:rPr>
        <w:t>（井筒及井下新水平延深的井底车场、主运输、主通风、主排水、主要机电硐室开拓工程除外）</w:t>
      </w:r>
      <w:r>
        <w:rPr>
          <w:rFonts w:hint="eastAsia" w:ascii="仿宋" w:hAnsi="仿宋" w:eastAsia="仿宋" w:cs="仿宋"/>
          <w:sz w:val="32"/>
          <w:szCs w:val="32"/>
          <w:u w:val="none"/>
        </w:rPr>
        <w:t>作为独立工程发包给其他企业或者个人的</w:t>
      </w:r>
      <w:r>
        <w:rPr>
          <w:rFonts w:hint="eastAsia" w:ascii="仿宋" w:hAnsi="仿宋" w:eastAsia="仿宋" w:cs="仿宋"/>
          <w:sz w:val="32"/>
          <w:szCs w:val="32"/>
          <w:u w:val="single"/>
        </w:rPr>
        <w:t>，以及转包井下新水平延深开拓工程的。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第十七条  “煤矿改制期间，未明确安全生产责任人和安全管理机构，或者在完成改制后，未重新取得或者变更采矿许可证、安全生产许可证和营业执照”重大事故隐患，是指有下列情形之一的：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（一）改制期间，未明确安全生产责任人进行生产建设的；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（二）改制期间，未健全安全生产管理机构和配备安全管理人员进行生产建设的；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（三）完成改制后，未重新取得或者变更采矿许可证、安全生产许可证、营业执照而进行生产建设的。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第十八条  “其他重大事故隐患”，是指有下列情形之一的：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（一）</w:t>
      </w:r>
      <w:r>
        <w:rPr>
          <w:rFonts w:hint="eastAsia" w:ascii="仿宋" w:hAnsi="仿宋" w:eastAsia="仿宋" w:cs="仿宋"/>
          <w:sz w:val="32"/>
          <w:szCs w:val="32"/>
          <w:u w:val="single"/>
        </w:rPr>
        <w:t>未</w:t>
      </w:r>
      <w:r>
        <w:rPr>
          <w:rFonts w:hint="eastAsia" w:ascii="仿宋" w:hAnsi="仿宋" w:eastAsia="仿宋" w:cs="仿宋"/>
          <w:sz w:val="32"/>
          <w:szCs w:val="32"/>
        </w:rPr>
        <w:t>分别配备</w:t>
      </w:r>
      <w:r>
        <w:rPr>
          <w:rFonts w:hint="eastAsia" w:ascii="仿宋" w:hAnsi="仿宋" w:eastAsia="仿宋" w:cs="仿宋"/>
          <w:sz w:val="32"/>
          <w:szCs w:val="32"/>
          <w:u w:val="single"/>
        </w:rPr>
        <w:t>专职</w:t>
      </w:r>
      <w:r>
        <w:rPr>
          <w:rFonts w:hint="eastAsia" w:ascii="仿宋" w:hAnsi="仿宋" w:eastAsia="仿宋" w:cs="仿宋"/>
          <w:sz w:val="32"/>
          <w:szCs w:val="32"/>
        </w:rPr>
        <w:t>的矿长、总工程师和分管安全、生产、机电的副矿长，以及负责采煤、掘进、机电运输、通风、</w:t>
      </w:r>
      <w:r>
        <w:rPr>
          <w:rFonts w:hint="eastAsia" w:ascii="仿宋" w:hAnsi="仿宋" w:eastAsia="仿宋" w:cs="仿宋"/>
          <w:sz w:val="32"/>
          <w:szCs w:val="32"/>
          <w:u w:val="single"/>
        </w:rPr>
        <w:t>地测、防治水</w:t>
      </w:r>
      <w:r>
        <w:rPr>
          <w:rFonts w:hint="eastAsia" w:ascii="仿宋" w:hAnsi="仿宋" w:eastAsia="仿宋" w:cs="仿宋"/>
          <w:sz w:val="32"/>
          <w:szCs w:val="32"/>
        </w:rPr>
        <w:t>工作的专业技术人员的；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宋体" w:hAnsi="宋体" w:eastAsia="宋体" w:cs="宋体"/>
          <w:b/>
          <w:bCs/>
          <w:color w:val="FF0000"/>
          <w:kern w:val="2"/>
          <w:sz w:val="21"/>
          <w:szCs w:val="21"/>
          <w:lang w:val="en-US" w:eastAsia="zh-CN" w:bidi="ar-SA"/>
        </w:rPr>
      </w:pPr>
      <w:r>
        <w:rPr>
          <w:rFonts w:hint="eastAsia" w:ascii="仿宋" w:hAnsi="仿宋" w:eastAsia="仿宋" w:cs="仿宋"/>
          <w:sz w:val="32"/>
          <w:szCs w:val="32"/>
        </w:rPr>
        <w:t>（二）未</w:t>
      </w:r>
      <w:r>
        <w:rPr>
          <w:rFonts w:hint="eastAsia" w:ascii="仿宋" w:hAnsi="仿宋" w:eastAsia="仿宋" w:cs="仿宋"/>
          <w:sz w:val="32"/>
          <w:szCs w:val="32"/>
          <w:u w:val="single"/>
        </w:rPr>
        <w:t>按照国家规</w:t>
      </w:r>
      <w:r>
        <w:rPr>
          <w:rFonts w:hint="eastAsia" w:ascii="仿宋" w:hAnsi="仿宋" w:eastAsia="仿宋" w:cs="仿宋"/>
          <w:sz w:val="32"/>
          <w:szCs w:val="32"/>
        </w:rPr>
        <w:t>定足额提取或者</w:t>
      </w:r>
      <w:r>
        <w:rPr>
          <w:rFonts w:hint="eastAsia" w:ascii="仿宋" w:hAnsi="仿宋" w:eastAsia="仿宋" w:cs="仿宋"/>
          <w:sz w:val="32"/>
          <w:szCs w:val="32"/>
          <w:u w:val="single"/>
        </w:rPr>
        <w:t>未按照国家规定范围</w:t>
      </w:r>
      <w:r>
        <w:rPr>
          <w:rFonts w:hint="eastAsia" w:ascii="仿宋" w:hAnsi="仿宋" w:eastAsia="仿宋" w:cs="仿宋"/>
          <w:sz w:val="32"/>
          <w:szCs w:val="32"/>
          <w:u w:val="none"/>
        </w:rPr>
        <w:t>使用</w:t>
      </w:r>
      <w:r>
        <w:rPr>
          <w:rFonts w:hint="eastAsia" w:ascii="仿宋" w:hAnsi="仿宋" w:eastAsia="仿宋" w:cs="仿宋"/>
          <w:sz w:val="32"/>
          <w:szCs w:val="32"/>
        </w:rPr>
        <w:t>安全生产费用的；</w:t>
      </w:r>
      <w:r>
        <w:rPr>
          <w:rFonts w:hint="eastAsia" w:ascii="宋体" w:hAnsi="宋体" w:eastAsia="宋体" w:cs="宋体"/>
          <w:b/>
          <w:bCs/>
          <w:color w:val="FF0000"/>
          <w:kern w:val="2"/>
          <w:sz w:val="21"/>
          <w:szCs w:val="21"/>
          <w:lang w:val="en-US" w:eastAsia="zh-CN" w:bidi="ar-SA"/>
        </w:rPr>
        <w:t>《企业安全生产费用提取和使用管理办法》财企〔2012〕16号第五条</w:t>
      </w:r>
      <w:r>
        <w:rPr>
          <w:rFonts w:hint="eastAsia" w:cs="宋体"/>
          <w:b/>
          <w:bCs/>
          <w:color w:val="FF0000"/>
          <w:kern w:val="2"/>
          <w:sz w:val="21"/>
          <w:szCs w:val="21"/>
          <w:lang w:val="en-US" w:eastAsia="zh-CN" w:bidi="ar-SA"/>
        </w:rPr>
        <w:t xml:space="preserve"> </w:t>
      </w:r>
      <w:r>
        <w:rPr>
          <w:rFonts w:hint="eastAsia" w:ascii="宋体" w:hAnsi="宋体" w:eastAsia="宋体" w:cs="宋体"/>
          <w:b/>
          <w:bCs/>
          <w:color w:val="FF0000"/>
          <w:kern w:val="2"/>
          <w:sz w:val="21"/>
          <w:szCs w:val="21"/>
          <w:lang w:val="en-US" w:eastAsia="zh-CN" w:bidi="ar-SA"/>
        </w:rPr>
        <w:t>煤炭生产企业依据开采的原煤产量按月提取。各类煤矿原煤单位产量安全费用提取标准如下：煤（岩）与瓦斯（二氧化碳）突出矿井、高瓦斯矿井吨煤30元；其他井工矿吨煤15元；第十七条　煤炭生产企业安全费用应当按照以下范围使用：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b/>
          <w:bCs/>
          <w:color w:val="FF0000"/>
          <w:kern w:val="2"/>
          <w:sz w:val="21"/>
          <w:szCs w:val="21"/>
          <w:lang w:val="en-US" w:eastAsia="zh-CN" w:bidi="ar-SA"/>
        </w:rPr>
      </w:pPr>
      <w:r>
        <w:rPr>
          <w:rFonts w:hint="eastAsia" w:cs="宋体"/>
          <w:b/>
          <w:bCs/>
          <w:color w:val="FF0000"/>
          <w:kern w:val="2"/>
          <w:sz w:val="21"/>
          <w:szCs w:val="21"/>
          <w:lang w:val="en-US" w:eastAsia="zh-CN" w:bidi="ar-SA"/>
        </w:rPr>
        <w:t>1.</w:t>
      </w:r>
      <w:r>
        <w:rPr>
          <w:rFonts w:hint="eastAsia" w:ascii="宋体" w:hAnsi="宋体" w:eastAsia="宋体" w:cs="宋体"/>
          <w:b/>
          <w:bCs/>
          <w:color w:val="FF0000"/>
          <w:kern w:val="2"/>
          <w:sz w:val="21"/>
          <w:szCs w:val="21"/>
          <w:lang w:val="en-US" w:eastAsia="zh-CN" w:bidi="ar-SA"/>
        </w:rPr>
        <w:t>煤与瓦斯突出及高瓦斯矿井落实“两个四位一体”综合防突措施支出，包括瓦斯区域预抽、保护层开采区域防突措施、开展突出区域和局部预测、实施局部补充防突措施、更新改造防突设备和设施、建立突出防治实验室等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22" w:firstLineChars="200"/>
        <w:jc w:val="left"/>
        <w:textAlignment w:val="auto"/>
        <w:rPr>
          <w:rFonts w:hint="eastAsia" w:ascii="宋体" w:hAnsi="宋体" w:eastAsia="宋体" w:cs="宋体"/>
          <w:b w:val="0"/>
          <w:bCs w:val="0"/>
          <w:color w:val="FF0000"/>
          <w:sz w:val="21"/>
          <w:szCs w:val="21"/>
          <w:lang w:eastAsia="zh-CN"/>
        </w:rPr>
      </w:pPr>
      <w:r>
        <w:rPr>
          <w:rFonts w:hint="eastAsia" w:cs="宋体"/>
          <w:b/>
          <w:bCs/>
          <w:color w:val="FF0000"/>
          <w:kern w:val="2"/>
          <w:sz w:val="21"/>
          <w:szCs w:val="21"/>
          <w:lang w:val="en-US" w:eastAsia="zh-CN" w:bidi="ar-SA"/>
        </w:rPr>
        <w:t>2.</w:t>
      </w:r>
      <w:r>
        <w:rPr>
          <w:rFonts w:hint="eastAsia" w:ascii="宋体" w:hAnsi="宋体" w:eastAsia="宋体" w:cs="宋体"/>
          <w:b/>
          <w:bCs/>
          <w:color w:val="FF0000"/>
          <w:kern w:val="2"/>
          <w:sz w:val="21"/>
          <w:szCs w:val="21"/>
          <w:lang w:val="en-US" w:eastAsia="zh-CN" w:bidi="ar-SA"/>
        </w:rPr>
        <w:t>煤矿安全生产改造和重大隐患治理支出，包括“一通三防”（通风，防瓦斯、防煤尘、防灭火）、防治水、供电、运输等系统设备改造和灾害治理工程，实施煤矿机械化改造，实施矿压（冲击地压）、热害、露天矿边坡治理、采空区治理等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3.</w:t>
      </w:r>
      <w:r>
        <w:rPr>
          <w:rFonts w:hint="eastAsia" w:ascii="宋体" w:hAnsi="宋体" w:eastAsia="宋体" w:cs="宋体"/>
          <w:b/>
          <w:bCs/>
          <w:color w:val="FF0000"/>
          <w:kern w:val="2"/>
          <w:sz w:val="21"/>
          <w:szCs w:val="21"/>
          <w:lang w:val="en-US" w:eastAsia="zh-CN" w:bidi="ar-SA"/>
        </w:rPr>
        <w:t>完善煤矿井下监测监控、人员定位、紧急避险、压风自救、供水施救和通信联络安全避险“六大系统”支出，应急救援技术装备、设施配置和维护保养支出，事故逃生和紧急避难设施设备的配置和应急演练支出；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4.</w:t>
      </w:r>
      <w:r>
        <w:rPr>
          <w:rFonts w:hint="eastAsia" w:ascii="宋体" w:hAnsi="宋体" w:eastAsia="宋体" w:cs="宋体"/>
          <w:b/>
          <w:bCs/>
          <w:color w:val="FF0000"/>
          <w:kern w:val="2"/>
          <w:sz w:val="21"/>
          <w:szCs w:val="21"/>
          <w:lang w:val="en-US" w:eastAsia="zh-CN" w:bidi="ar-SA"/>
        </w:rPr>
        <w:t>开展重大危险源和事故隐患评估、监控和整改支出；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5.</w:t>
      </w:r>
      <w:r>
        <w:rPr>
          <w:rFonts w:hint="eastAsia" w:ascii="宋体" w:hAnsi="宋体" w:eastAsia="宋体" w:cs="宋体"/>
          <w:b/>
          <w:bCs/>
          <w:color w:val="FF0000"/>
          <w:kern w:val="2"/>
          <w:sz w:val="21"/>
          <w:szCs w:val="21"/>
          <w:lang w:val="en-US" w:eastAsia="zh-CN" w:bidi="ar-SA"/>
        </w:rPr>
        <w:t>安全生产检查、评价（不包括新建、改建、扩建项目安全评价）、咨询、标准化建设支出；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6.</w:t>
      </w:r>
      <w:r>
        <w:rPr>
          <w:rFonts w:hint="eastAsia" w:ascii="宋体" w:hAnsi="宋体" w:eastAsia="宋体" w:cs="宋体"/>
          <w:b/>
          <w:bCs/>
          <w:color w:val="FF0000"/>
          <w:kern w:val="2"/>
          <w:sz w:val="21"/>
          <w:szCs w:val="21"/>
          <w:lang w:val="en-US" w:eastAsia="zh-CN" w:bidi="ar-SA"/>
        </w:rPr>
        <w:t>配备和更新现场作业人员安全防护用品支出；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 xml:space="preserve">  7.</w:t>
      </w:r>
      <w:r>
        <w:rPr>
          <w:rFonts w:hint="eastAsia" w:ascii="宋体" w:hAnsi="宋体" w:eastAsia="宋体" w:cs="宋体"/>
          <w:b/>
          <w:bCs/>
          <w:color w:val="FF0000"/>
          <w:kern w:val="2"/>
          <w:sz w:val="21"/>
          <w:szCs w:val="21"/>
          <w:lang w:val="en-US" w:eastAsia="zh-CN" w:bidi="ar-SA"/>
        </w:rPr>
        <w:t>安全生产宣传、教育、培训支出；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val="0"/>
          <w:bCs w:val="0"/>
          <w:color w:val="FF0000"/>
          <w:kern w:val="2"/>
          <w:sz w:val="21"/>
          <w:szCs w:val="21"/>
          <w:lang w:val="en-US" w:eastAsia="zh-CN" w:bidi="ar-SA"/>
        </w:rPr>
        <w:t>　　</w:t>
      </w:r>
      <w:r>
        <w:rPr>
          <w:rFonts w:hint="eastAsia" w:cs="宋体"/>
          <w:b/>
          <w:bCs/>
          <w:color w:val="FF0000"/>
          <w:kern w:val="2"/>
          <w:sz w:val="21"/>
          <w:szCs w:val="21"/>
          <w:lang w:val="en-US" w:eastAsia="zh-CN" w:bidi="ar-SA"/>
        </w:rPr>
        <w:t>8.</w:t>
      </w:r>
      <w:r>
        <w:rPr>
          <w:rFonts w:hint="eastAsia" w:ascii="宋体" w:hAnsi="宋体" w:eastAsia="宋体" w:cs="宋体"/>
          <w:b/>
          <w:bCs/>
          <w:color w:val="FF0000"/>
          <w:kern w:val="2"/>
          <w:sz w:val="21"/>
          <w:szCs w:val="21"/>
          <w:lang w:val="en-US" w:eastAsia="zh-CN" w:bidi="ar-SA"/>
        </w:rPr>
        <w:t>安全生产适用新技术、新标准、新工艺、新装备的推广应用支出；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9.</w:t>
      </w:r>
      <w:r>
        <w:rPr>
          <w:rFonts w:hint="eastAsia" w:ascii="宋体" w:hAnsi="宋体" w:eastAsia="宋体" w:cs="宋体"/>
          <w:b/>
          <w:bCs/>
          <w:color w:val="FF0000"/>
          <w:kern w:val="2"/>
          <w:sz w:val="21"/>
          <w:szCs w:val="21"/>
          <w:lang w:val="en-US" w:eastAsia="zh-CN" w:bidi="ar-SA"/>
        </w:rPr>
        <w:t>安全设施及特种设备检测检验支出；</w:t>
      </w:r>
      <w:r>
        <w:rPr>
          <w:rFonts w:hint="eastAsia" w:ascii="宋体" w:hAnsi="宋体" w:eastAsia="宋体" w:cs="宋体"/>
          <w:b/>
          <w:bCs/>
          <w:color w:val="FF0000"/>
          <w:kern w:val="2"/>
          <w:sz w:val="21"/>
          <w:szCs w:val="21"/>
          <w:lang w:val="en-US" w:eastAsia="zh-CN" w:bidi="ar-SA"/>
        </w:rPr>
        <w:br w:type="textWrapping"/>
      </w:r>
      <w:r>
        <w:rPr>
          <w:rFonts w:hint="eastAsia" w:ascii="宋体" w:hAnsi="宋体" w:eastAsia="宋体" w:cs="宋体"/>
          <w:b/>
          <w:bCs/>
          <w:color w:val="FF0000"/>
          <w:kern w:val="2"/>
          <w:sz w:val="21"/>
          <w:szCs w:val="21"/>
          <w:lang w:val="en-US" w:eastAsia="zh-CN" w:bidi="ar-SA"/>
        </w:rPr>
        <w:t>　　</w:t>
      </w:r>
      <w:r>
        <w:rPr>
          <w:rFonts w:hint="eastAsia" w:cs="宋体"/>
          <w:b/>
          <w:bCs/>
          <w:color w:val="FF0000"/>
          <w:kern w:val="2"/>
          <w:sz w:val="21"/>
          <w:szCs w:val="21"/>
          <w:lang w:val="en-US" w:eastAsia="zh-CN" w:bidi="ar-SA"/>
        </w:rPr>
        <w:t>10.</w:t>
      </w:r>
      <w:r>
        <w:rPr>
          <w:rFonts w:hint="eastAsia" w:ascii="宋体" w:hAnsi="宋体" w:eastAsia="宋体" w:cs="宋体"/>
          <w:b/>
          <w:bCs/>
          <w:color w:val="FF0000"/>
          <w:kern w:val="2"/>
          <w:sz w:val="21"/>
          <w:szCs w:val="21"/>
          <w:lang w:val="en-US" w:eastAsia="zh-CN" w:bidi="ar-SA"/>
        </w:rPr>
        <w:t>其他与安全生产直接相关的支出。</w:t>
      </w:r>
      <w:r>
        <w:rPr>
          <w:rFonts w:hint="eastAsia" w:ascii="宋体" w:hAnsi="宋体" w:eastAsia="宋体" w:cs="宋体"/>
          <w:b/>
          <w:bCs/>
          <w:color w:val="FF0000"/>
          <w:kern w:val="2"/>
          <w:sz w:val="21"/>
          <w:szCs w:val="21"/>
          <w:lang w:val="en-US" w:eastAsia="zh-CN" w:bidi="ar-SA"/>
        </w:rPr>
        <w:br w:type="textWrapping"/>
      </w:r>
      <w:r>
        <w:rPr>
          <w:rFonts w:hint="eastAsia" w:cs="宋体"/>
          <w:b w:val="0"/>
          <w:bCs w:val="0"/>
          <w:color w:val="FF0000"/>
          <w:kern w:val="2"/>
          <w:sz w:val="21"/>
          <w:szCs w:val="21"/>
          <w:lang w:val="en-US" w:eastAsia="zh-CN" w:bidi="ar-SA"/>
        </w:rPr>
        <w:t xml:space="preserve">     </w:t>
      </w:r>
      <w:r>
        <w:rPr>
          <w:rFonts w:hint="eastAsia" w:ascii="仿宋" w:hAnsi="仿宋" w:eastAsia="仿宋" w:cs="仿宋"/>
          <w:sz w:val="32"/>
          <w:szCs w:val="32"/>
        </w:rPr>
        <w:t>（三）</w:t>
      </w:r>
      <w:r>
        <w:rPr>
          <w:rFonts w:hint="eastAsia" w:ascii="仿宋" w:hAnsi="仿宋" w:eastAsia="仿宋" w:cs="仿宋"/>
          <w:sz w:val="32"/>
          <w:szCs w:val="32"/>
          <w:u w:val="single"/>
        </w:rPr>
        <w:t>未按照国家规定进行瓦斯等级鉴定，或者瓦斯等级鉴定弄虚作假的；</w:t>
      </w:r>
      <w:r>
        <w:rPr>
          <w:rFonts w:hint="eastAsia" w:ascii="仿宋" w:hAnsi="仿宋" w:eastAsia="仿宋" w:cs="仿宋"/>
          <w:sz w:val="32"/>
          <w:szCs w:val="32"/>
          <w:u w:val="single"/>
          <w:lang w:eastAsia="zh-CN"/>
        </w:rPr>
        <w:t>（增加）</w:t>
      </w:r>
      <w:r>
        <w:rPr>
          <w:rFonts w:hint="eastAsia" w:ascii="宋体" w:hAnsi="宋体" w:eastAsia="宋体" w:cs="宋体"/>
          <w:b/>
          <w:bCs/>
          <w:color w:val="FF0000"/>
          <w:sz w:val="21"/>
          <w:szCs w:val="21"/>
          <w:lang w:eastAsia="zh-CN"/>
        </w:rPr>
        <w:t>《煤矿瓦斯等级鉴定办法》第十条  低瓦斯矿井每2年应当进行一次高瓦斯矿井等级鉴定，高瓦斯、突出矿井应当每年测定和计算矿井、采区、工作面瓦斯（二氧化碳）涌出量，并报省级煤炭行业管理部门和煤矿安全监察机构。经鉴定或者认定为突出矿井的，不得改定为非突出矿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（四）出现瓦斯动力现象，或者相邻矿井开采的同一煤层发生了突出</w:t>
      </w:r>
      <w:r>
        <w:rPr>
          <w:rFonts w:hint="eastAsia" w:ascii="仿宋" w:hAnsi="仿宋" w:eastAsia="仿宋" w:cs="仿宋"/>
          <w:sz w:val="32"/>
          <w:szCs w:val="32"/>
          <w:u w:val="single"/>
        </w:rPr>
        <w:t>事故</w:t>
      </w:r>
      <w:r>
        <w:rPr>
          <w:rFonts w:hint="eastAsia" w:ascii="仿宋" w:hAnsi="仿宋" w:eastAsia="仿宋" w:cs="仿宋"/>
          <w:sz w:val="32"/>
          <w:szCs w:val="32"/>
        </w:rPr>
        <w:t>，或者被</w:t>
      </w:r>
      <w:r>
        <w:rPr>
          <w:rFonts w:hint="eastAsia" w:ascii="仿宋" w:hAnsi="仿宋" w:eastAsia="仿宋" w:cs="仿宋"/>
          <w:sz w:val="32"/>
          <w:szCs w:val="32"/>
          <w:u w:val="single"/>
        </w:rPr>
        <w:t>鉴定、认定为突出煤层，以及</w:t>
      </w:r>
      <w:r>
        <w:rPr>
          <w:rFonts w:hint="eastAsia" w:ascii="仿宋" w:hAnsi="仿宋" w:eastAsia="仿宋" w:cs="仿宋"/>
          <w:sz w:val="32"/>
          <w:szCs w:val="32"/>
        </w:rPr>
        <w:t>煤层瓦斯压力达到或者超过0.74MPa的非突出矿井，未立即按照突出煤层管理并在</w:t>
      </w:r>
      <w:r>
        <w:rPr>
          <w:rFonts w:hint="eastAsia" w:ascii="仿宋" w:hAnsi="仿宋" w:eastAsia="仿宋" w:cs="仿宋"/>
          <w:sz w:val="32"/>
          <w:szCs w:val="32"/>
          <w:u w:val="single"/>
        </w:rPr>
        <w:t>国家规定期限</w:t>
      </w:r>
      <w:r>
        <w:rPr>
          <w:rFonts w:hint="eastAsia" w:ascii="仿宋" w:hAnsi="仿宋" w:eastAsia="仿宋" w:cs="仿宋"/>
          <w:sz w:val="32"/>
          <w:szCs w:val="32"/>
        </w:rPr>
        <w:t>内进行突出危险性鉴定的（直接认定为突出矿井的除外）；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（五）图纸作假、隐瞒采掘工作面，</w:t>
      </w:r>
      <w:r>
        <w:rPr>
          <w:rFonts w:hint="eastAsia" w:ascii="仿宋" w:hAnsi="仿宋" w:eastAsia="仿宋" w:cs="仿宋"/>
          <w:sz w:val="32"/>
          <w:szCs w:val="32"/>
          <w:u w:val="single"/>
        </w:rPr>
        <w:t>提供虚假信息、隐瞒下井人数，或者矿长、总工程师（技术负责人）履行安全生产岗位责任制及管理制度时伪造记录，弄虚作假的；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　　</w:t>
      </w:r>
      <w:r>
        <w:rPr>
          <w:rFonts w:hint="eastAsia" w:ascii="仿宋" w:hAnsi="仿宋" w:eastAsia="仿宋" w:cs="仿宋"/>
          <w:sz w:val="32"/>
          <w:szCs w:val="32"/>
          <w:u w:val="single"/>
        </w:rPr>
        <w:t>（六）矿井未安装安全监控系统、人员位置监测系统或者系统不能正常运行，以及对系统数据进行修改、删除及屏蔽，或者煤与瓦斯突出矿井存在第七条第二项情形的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宋体" w:hAnsi="宋体" w:eastAsia="宋体" w:cs="宋体"/>
          <w:b/>
          <w:bCs/>
          <w:color w:val="FF0000"/>
          <w:sz w:val="21"/>
          <w:szCs w:val="21"/>
        </w:rPr>
      </w:pPr>
      <w:r>
        <w:rPr>
          <w:rFonts w:hint="eastAsia" w:ascii="仿宋" w:hAnsi="仿宋" w:eastAsia="仿宋" w:cs="仿宋"/>
          <w:sz w:val="32"/>
          <w:szCs w:val="32"/>
          <w:u w:val="single"/>
        </w:rPr>
        <w:t>（七）提升（运送）人员的提升机未按照《煤矿安全规程》规定安装保护装置，或者保护装置失效，或者超员运行的；</w:t>
      </w:r>
      <w:r>
        <w:rPr>
          <w:rFonts w:hint="eastAsia" w:ascii="仿宋" w:hAnsi="仿宋" w:eastAsia="仿宋" w:cs="仿宋"/>
          <w:sz w:val="32"/>
          <w:szCs w:val="32"/>
          <w:u w:val="single"/>
          <w:lang w:eastAsia="zh-CN"/>
        </w:rPr>
        <w:t>（增加）</w:t>
      </w:r>
      <w:r>
        <w:rPr>
          <w:rFonts w:hint="eastAsia" w:ascii="宋体" w:hAnsi="宋体" w:eastAsia="宋体" w:cs="宋体"/>
          <w:b/>
          <w:bCs/>
          <w:color w:val="FF0000"/>
          <w:sz w:val="21"/>
          <w:szCs w:val="21"/>
        </w:rPr>
        <w:t>第四百二十</w:t>
      </w:r>
      <w:r>
        <w:rPr>
          <w:rFonts w:hint="eastAsia" w:ascii="宋体" w:hAnsi="宋体" w:eastAsia="宋体" w:cs="宋体"/>
          <w:b/>
          <w:bCs/>
          <w:color w:val="FF0000"/>
          <w:sz w:val="21"/>
          <w:szCs w:val="21"/>
          <w:lang w:eastAsia="zh-CN"/>
        </w:rPr>
        <w:t>三</w:t>
      </w:r>
      <w:r>
        <w:rPr>
          <w:rFonts w:hint="eastAsia" w:ascii="宋体" w:hAnsi="宋体" w:eastAsia="宋体" w:cs="宋体"/>
          <w:b/>
          <w:bCs/>
          <w:color w:val="FF0000"/>
          <w:sz w:val="21"/>
          <w:szCs w:val="21"/>
        </w:rPr>
        <w:t>条 提升装置必须按下列要求装设安全保护:</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过卷和过放保护</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当提升容器超过正常终端停止位置或出车平台0.5m时，必须能自动断电，并能使保险闸发生制动作用。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lang w:eastAsia="zh-CN"/>
        </w:rPr>
        <w:t>（二）</w:t>
      </w:r>
      <w:r>
        <w:rPr>
          <w:rFonts w:hint="eastAsia" w:ascii="宋体" w:hAnsi="宋体" w:eastAsia="宋体" w:cs="宋体"/>
          <w:b/>
          <w:bCs/>
          <w:color w:val="FF0000"/>
          <w:sz w:val="21"/>
          <w:szCs w:val="21"/>
        </w:rPr>
        <w:t>过负荷和欠电压保护。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（三）</w:t>
      </w:r>
      <w:r>
        <w:rPr>
          <w:rFonts w:hint="eastAsia" w:ascii="宋体" w:hAnsi="宋体" w:eastAsia="宋体" w:cs="宋体"/>
          <w:b/>
          <w:bCs/>
          <w:color w:val="FF0000"/>
          <w:sz w:val="21"/>
          <w:szCs w:val="21"/>
          <w:lang w:eastAsia="zh-CN"/>
        </w:rPr>
        <w:t>超</w:t>
      </w:r>
      <w:r>
        <w:rPr>
          <w:rFonts w:hint="eastAsia" w:ascii="宋体" w:hAnsi="宋体" w:eastAsia="宋体" w:cs="宋体"/>
          <w:b/>
          <w:bCs/>
          <w:color w:val="FF0000"/>
          <w:sz w:val="21"/>
          <w:szCs w:val="21"/>
        </w:rPr>
        <w:t>速保护:当提升速度超过最大速度15％时，必须能自动断电，且使制动器实施安全制动。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rPr>
        <w:t>（四）限速保护：提升速度超过3m/s的提升机必须装设限速保护，以保证提升容器或平衡锤到达终端位置时的速度不超过2m/s。当减速段速度超过设定值的</w:t>
      </w:r>
      <w:r>
        <w:rPr>
          <w:rFonts w:hint="eastAsia" w:ascii="宋体" w:hAnsi="宋体" w:eastAsia="宋体" w:cs="宋体"/>
          <w:b/>
          <w:bCs/>
          <w:color w:val="FF0000"/>
          <w:sz w:val="21"/>
          <w:szCs w:val="21"/>
          <w:lang w:val="en-US" w:eastAsia="zh-CN"/>
        </w:rPr>
        <w:t>10</w:t>
      </w:r>
      <w:r>
        <w:rPr>
          <w:rFonts w:hint="eastAsia" w:ascii="宋体" w:hAnsi="宋体" w:eastAsia="宋体" w:cs="宋体"/>
          <w:b/>
          <w:bCs/>
          <w:color w:val="FF0000"/>
          <w:sz w:val="21"/>
          <w:szCs w:val="21"/>
        </w:rPr>
        <w:t>％ 时,必须能自动断电,且使制动器实施安全制动</w:t>
      </w:r>
      <w:r>
        <w:rPr>
          <w:rFonts w:hint="eastAsia" w:ascii="宋体" w:hAnsi="宋体" w:eastAsia="宋体" w:cs="宋体"/>
          <w:b/>
          <w:bCs/>
          <w:color w:val="FF000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（五）提升容器位置指示保护</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当位置指示失效时，能自动断电,且使制动器实施安全制动。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rPr>
        <w:t>（六）闸瓦间隙保护:当闸瓦间隙超过规定值时，能报警并闭锁下次开车</w:t>
      </w:r>
      <w:r>
        <w:rPr>
          <w:rFonts w:hint="eastAsia" w:ascii="宋体" w:hAnsi="宋体" w:eastAsia="宋体" w:cs="宋体"/>
          <w:b/>
          <w:bCs/>
          <w:color w:val="FF000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（七）松绳保护：缠绕式</w:t>
      </w:r>
      <w:r>
        <w:rPr>
          <w:rFonts w:hint="eastAsia" w:ascii="宋体" w:hAnsi="宋体" w:eastAsia="宋体" w:cs="宋体"/>
          <w:b/>
          <w:bCs/>
          <w:color w:val="FF0000"/>
          <w:sz w:val="21"/>
          <w:szCs w:val="21"/>
          <w:lang w:eastAsia="zh-CN"/>
        </w:rPr>
        <w:t>提升机</w:t>
      </w:r>
      <w:r>
        <w:rPr>
          <w:rFonts w:hint="eastAsia" w:ascii="宋体" w:hAnsi="宋体" w:eastAsia="宋体" w:cs="宋体"/>
          <w:b/>
          <w:bCs/>
          <w:color w:val="FF0000"/>
          <w:sz w:val="21"/>
          <w:szCs w:val="21"/>
        </w:rPr>
        <w:t>必须</w:t>
      </w:r>
      <w:r>
        <w:rPr>
          <w:rFonts w:hint="eastAsia" w:ascii="宋体" w:hAnsi="宋体" w:eastAsia="宋体" w:cs="宋体"/>
          <w:b/>
          <w:bCs/>
          <w:color w:val="FF0000"/>
          <w:sz w:val="21"/>
          <w:szCs w:val="21"/>
          <w:lang w:eastAsia="zh-CN"/>
        </w:rPr>
        <w:t>应当</w:t>
      </w:r>
      <w:r>
        <w:rPr>
          <w:rFonts w:hint="eastAsia" w:ascii="宋体" w:hAnsi="宋体" w:eastAsia="宋体" w:cs="宋体"/>
          <w:b/>
          <w:bCs/>
          <w:color w:val="FF0000"/>
          <w:sz w:val="21"/>
          <w:szCs w:val="21"/>
        </w:rPr>
        <w:t>松绳保护装置并接入安全回路和报警回路。箕斗提升时，松绳保护装置动作后，严禁受煤仓放煤。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rPr>
        <w:t>（八）仓位超限保护：箕斗提升的井口煤仓仓位超限时,能报警并闭锁开车</w:t>
      </w:r>
      <w:r>
        <w:rPr>
          <w:rFonts w:hint="eastAsia" w:ascii="宋体" w:hAnsi="宋体" w:eastAsia="宋体" w:cs="宋体"/>
          <w:b/>
          <w:bCs/>
          <w:color w:val="FF000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jc w:val="both"/>
        <w:textAlignment w:val="auto"/>
        <w:outlineLvl w:val="9"/>
        <w:rPr>
          <w:rFonts w:hint="eastAsia" w:ascii="宋体" w:hAnsi="宋体" w:eastAsia="宋体" w:cs="宋体"/>
          <w:b/>
          <w:bCs/>
          <w:color w:val="FF0000"/>
          <w:sz w:val="21"/>
          <w:szCs w:val="21"/>
        </w:rPr>
      </w:pPr>
      <w:r>
        <w:rPr>
          <w:rFonts w:hint="eastAsia" w:ascii="宋体" w:hAnsi="宋体" w:eastAsia="宋体" w:cs="宋体"/>
          <w:b/>
          <w:bCs/>
          <w:color w:val="FF0000"/>
          <w:sz w:val="21"/>
          <w:szCs w:val="21"/>
        </w:rPr>
        <w:t>（九）减速功能保护：当提升容器或平衡锤到达设计减速</w:t>
      </w:r>
      <w:r>
        <w:rPr>
          <w:rFonts w:hint="eastAsia" w:ascii="宋体" w:hAnsi="宋体" w:eastAsia="宋体" w:cs="宋体"/>
          <w:b/>
          <w:bCs/>
          <w:color w:val="FF0000"/>
          <w:sz w:val="21"/>
          <w:szCs w:val="21"/>
          <w:lang w:eastAsia="zh-CN"/>
        </w:rPr>
        <w:t>点</w:t>
      </w:r>
      <w:r>
        <w:rPr>
          <w:rFonts w:hint="eastAsia" w:ascii="宋体" w:hAnsi="宋体" w:eastAsia="宋体" w:cs="宋体"/>
          <w:b/>
          <w:bCs/>
          <w:color w:val="FF0000"/>
          <w:sz w:val="21"/>
          <w:szCs w:val="21"/>
        </w:rPr>
        <w:t>时，能示警并开始减速。</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2" w:firstLineChars="200"/>
        <w:jc w:val="both"/>
        <w:textAlignment w:val="auto"/>
        <w:outlineLvl w:val="9"/>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(十)错向运行保护:当发生错向时,能自动断电,且使制动器实施安全制动。</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22" w:firstLineChars="200"/>
        <w:jc w:val="left"/>
        <w:textAlignment w:val="auto"/>
        <w:outlineLvl w:val="9"/>
        <w:rPr>
          <w:rFonts w:hint="eastAsia" w:ascii="宋体" w:hAnsi="宋体" w:eastAsia="宋体" w:cs="宋体"/>
          <w:b/>
          <w:bCs/>
          <w:color w:val="FF0000"/>
          <w:sz w:val="32"/>
          <w:szCs w:val="32"/>
          <w:u w:val="single"/>
        </w:rPr>
      </w:pPr>
      <w:r>
        <w:rPr>
          <w:rFonts w:hint="eastAsia" w:ascii="宋体" w:hAnsi="宋体" w:eastAsia="宋体" w:cs="宋体"/>
          <w:b/>
          <w:bCs/>
          <w:color w:val="FF0000"/>
          <w:sz w:val="21"/>
          <w:szCs w:val="21"/>
        </w:rPr>
        <w:t>过卷保护、超速保护、限速保护和减速功能保护应设置为相互独立的双线型式。缠绕式提升机应加设定车装置。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w:t>
      </w:r>
      <w:r>
        <w:rPr>
          <w:rFonts w:hint="eastAsia" w:ascii="仿宋" w:hAnsi="仿宋" w:eastAsia="仿宋" w:cs="仿宋"/>
          <w:sz w:val="32"/>
          <w:szCs w:val="32"/>
          <w:u w:val="single"/>
        </w:rPr>
        <w:t>（八）带式输送机的输送带入井前未经过第三方阻燃和抗静电性能试验，或者试验不合格入井，或者输送带防打滑、跑偏、堆煤等保护装置或者温度、烟雾监测装置失效的；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w:t>
      </w:r>
      <w:r>
        <w:rPr>
          <w:rFonts w:hint="eastAsia" w:ascii="仿宋" w:hAnsi="仿宋" w:eastAsia="仿宋" w:cs="仿宋"/>
          <w:sz w:val="32"/>
          <w:szCs w:val="32"/>
          <w:u w:val="single"/>
        </w:rPr>
        <w:t>（九）掘进工作面后部巷道或者独头巷道维修（着火点、高温点处理）时，维修（处理）点以里继续掘进或者有人员进入，或者采掘工作面未按照国家规定安设压风、供水、通信线路及装置的；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rPr>
        <w:t>　　</w:t>
      </w:r>
      <w:r>
        <w:rPr>
          <w:rFonts w:hint="eastAsia" w:ascii="仿宋" w:hAnsi="仿宋" w:eastAsia="仿宋" w:cs="仿宋"/>
          <w:sz w:val="32"/>
          <w:szCs w:val="32"/>
          <w:u w:val="single"/>
        </w:rPr>
        <w:t>（十）露天煤矿边坡角大于设计最大值，或者边坡发生严重变形未及时采取措施进行治理的；</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u w:val="single"/>
        </w:rPr>
        <w:t>　　（十一）国家矿山安全监察机构认定的其他重大事故隐患。</w:t>
      </w:r>
      <w:r>
        <w:rPr>
          <w:rFonts w:hint="eastAsia" w:ascii="仿宋" w:hAnsi="仿宋" w:eastAsia="仿宋" w:cs="仿宋"/>
          <w:sz w:val="32"/>
          <w:szCs w:val="32"/>
          <w:u w:val="single"/>
          <w:lang w:eastAsia="zh-CN"/>
        </w:rPr>
        <w:t>（增加）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第十九条  本标准所称的国家规定，是指有关法律、行政法规、部门规章、国家标准、行业标准，以及国务院及其应急管理部门、国家矿山安全监察机构依法制定的行政规范性文件。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第二十条  本标准自2021年1月1日起施行。原国家安全生产监督管理总局2015年12月3日公布的《煤矿重大生产安全事故隐患判定标准》（国家安全生产监督管理总局令第85号）同时废止。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7C4E"/>
    <w:multiLevelType w:val="singleLevel"/>
    <w:tmpl w:val="57067C4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73BD"/>
    <w:rsid w:val="02677DA2"/>
    <w:rsid w:val="02990DEE"/>
    <w:rsid w:val="046E347B"/>
    <w:rsid w:val="056D5689"/>
    <w:rsid w:val="07A5123B"/>
    <w:rsid w:val="091860B6"/>
    <w:rsid w:val="0B142BEC"/>
    <w:rsid w:val="102D7BAA"/>
    <w:rsid w:val="10920E99"/>
    <w:rsid w:val="10EA5229"/>
    <w:rsid w:val="11C532A7"/>
    <w:rsid w:val="122323D4"/>
    <w:rsid w:val="12FF6B3B"/>
    <w:rsid w:val="14254274"/>
    <w:rsid w:val="14DE6151"/>
    <w:rsid w:val="1588451F"/>
    <w:rsid w:val="17775F8A"/>
    <w:rsid w:val="18C9039B"/>
    <w:rsid w:val="19421D50"/>
    <w:rsid w:val="1B57051D"/>
    <w:rsid w:val="1C057153"/>
    <w:rsid w:val="1D4C5526"/>
    <w:rsid w:val="1D514F64"/>
    <w:rsid w:val="1F9E2101"/>
    <w:rsid w:val="20953806"/>
    <w:rsid w:val="22BD76CB"/>
    <w:rsid w:val="23D14906"/>
    <w:rsid w:val="26861AFF"/>
    <w:rsid w:val="27BF5D31"/>
    <w:rsid w:val="281647A2"/>
    <w:rsid w:val="285A69BE"/>
    <w:rsid w:val="28807C94"/>
    <w:rsid w:val="288902FE"/>
    <w:rsid w:val="29864419"/>
    <w:rsid w:val="2FAD283F"/>
    <w:rsid w:val="2FE25492"/>
    <w:rsid w:val="34D90D26"/>
    <w:rsid w:val="35002658"/>
    <w:rsid w:val="355617B5"/>
    <w:rsid w:val="362C4E34"/>
    <w:rsid w:val="368B6699"/>
    <w:rsid w:val="39CC2A4B"/>
    <w:rsid w:val="3DC5393D"/>
    <w:rsid w:val="3ED173FE"/>
    <w:rsid w:val="3F0C368B"/>
    <w:rsid w:val="3F410EF4"/>
    <w:rsid w:val="418A25D6"/>
    <w:rsid w:val="41E67B0A"/>
    <w:rsid w:val="445D44D7"/>
    <w:rsid w:val="45656D41"/>
    <w:rsid w:val="47183EDA"/>
    <w:rsid w:val="47961902"/>
    <w:rsid w:val="4A41320E"/>
    <w:rsid w:val="4A425D22"/>
    <w:rsid w:val="4AAB6EAE"/>
    <w:rsid w:val="4BB173AF"/>
    <w:rsid w:val="4F206A49"/>
    <w:rsid w:val="506F45BA"/>
    <w:rsid w:val="50C92FB9"/>
    <w:rsid w:val="572650BD"/>
    <w:rsid w:val="57E52ED4"/>
    <w:rsid w:val="581A29CD"/>
    <w:rsid w:val="5B5E6CB3"/>
    <w:rsid w:val="5B7B60B8"/>
    <w:rsid w:val="5D442A9F"/>
    <w:rsid w:val="5EA50A68"/>
    <w:rsid w:val="602F438A"/>
    <w:rsid w:val="62ED0426"/>
    <w:rsid w:val="65C01DC8"/>
    <w:rsid w:val="65C37752"/>
    <w:rsid w:val="667D2851"/>
    <w:rsid w:val="686C7613"/>
    <w:rsid w:val="68DC5E07"/>
    <w:rsid w:val="6999150F"/>
    <w:rsid w:val="6A0E352A"/>
    <w:rsid w:val="6D5E0423"/>
    <w:rsid w:val="6E47220B"/>
    <w:rsid w:val="6E981368"/>
    <w:rsid w:val="7113454C"/>
    <w:rsid w:val="72CD053D"/>
    <w:rsid w:val="731B0374"/>
    <w:rsid w:val="750C4811"/>
    <w:rsid w:val="755422A8"/>
    <w:rsid w:val="76883178"/>
    <w:rsid w:val="782E1CBF"/>
    <w:rsid w:val="794F51DC"/>
    <w:rsid w:val="7C9D65D9"/>
    <w:rsid w:val="7DEC2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32"/>
      <w:szCs w:val="20"/>
    </w:r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2020-11-28T01:17:00Z</dcterms:created>
  <dc:creator>Administrator</dc:creator>
  <cp:lastModifiedBy>海之蓝</cp:lastModifiedBy>
  <dcterms:modified xsi:type="dcterms:W3CDTF">2020-12-03T12:31:23Z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