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黑体" w:hAnsi="黑体" w:eastAsia="黑体" w:cs="Times New Roman"/>
          <w:sz w:val="30"/>
          <w:szCs w:val="30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简标宋" w:cs="Times New Roman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简标宋" w:cs="Times New Roman"/>
          <w:sz w:val="36"/>
          <w:szCs w:val="36"/>
        </w:rPr>
      </w:pPr>
      <w:r>
        <w:rPr>
          <w:rFonts w:hint="eastAsia" w:ascii="Times New Roman" w:hAnsi="Times New Roman" w:eastAsia="微软简标宋" w:cs="Times New Roman"/>
          <w:sz w:val="36"/>
          <w:szCs w:val="36"/>
        </w:rPr>
        <w:t>201</w:t>
      </w:r>
      <w:r>
        <w:rPr>
          <w:rFonts w:hint="eastAsia" w:ascii="Times New Roman" w:hAnsi="Times New Roman" w:eastAsia="微软简标宋" w:cs="Times New Roman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微软简标宋" w:cs="Times New Roman"/>
          <w:sz w:val="36"/>
          <w:szCs w:val="36"/>
        </w:rPr>
        <w:t>年度资本支出计划预计完成情况和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简标宋" w:cs="Times New Roman"/>
          <w:sz w:val="36"/>
          <w:szCs w:val="36"/>
        </w:rPr>
      </w:pPr>
      <w:r>
        <w:rPr>
          <w:rFonts w:hint="eastAsia" w:ascii="Times New Roman" w:hAnsi="Times New Roman" w:eastAsia="微软简标宋" w:cs="Times New Roman"/>
          <w:sz w:val="36"/>
          <w:szCs w:val="36"/>
        </w:rPr>
        <w:t>20</w:t>
      </w:r>
      <w:r>
        <w:rPr>
          <w:rFonts w:hint="eastAsia" w:ascii="Times New Roman" w:hAnsi="Times New Roman" w:eastAsia="微软简标宋" w:cs="Times New Roman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微软简标宋" w:cs="Times New Roman"/>
          <w:sz w:val="36"/>
          <w:szCs w:val="36"/>
        </w:rPr>
        <w:t>年度资本支出计划安排情况文字材料提纲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简标宋" w:cs="Times New Roman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一、201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sz w:val="30"/>
          <w:szCs w:val="30"/>
        </w:rPr>
        <w:t>年度资本支出计划预计完成情况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（一）总体完成情况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基本建设项目、股权投资、固定资产购置、小型建筑及改造和维修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其它资本性支出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的2018年度计划安排情况，年中新增调整情况，1-9月实际完成情况，预计全年完成情况。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（二）基本建设项目完成情况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1．基本建设项目总体完成情况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（1）续建项目201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（2）新开工项目201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（3）技改项目201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（4）前期项目201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2．具体项目完成情况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按续建项目、新开工项目、技改项目、前期项目分类就单个项目进行叙述。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主要内容：（1）项目基本情况：项目总投资、开工时间、预计完成时间、内部审批情况、外部手续办理情况；（2）计划完成情况：至上年底累计完成情况，201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，总体项目形象进度（按照矿建工程、土建工程、设备购置、安装工程、工程建设其他等分项说明）；（3）分析与措施：完成情况与计划安排的差异分析，阐述主要原因及解决措施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（三）股权投资完成情况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1．股权投资总体完成情况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股权投资201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2．具体项目完成情况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按单个项目进行叙述。主要内容：（1）项目基本情况：简述项目合同或协议规定的我方出资总额、所占股比，其他各方股东名称及所占股比；（2）计划完成情况：至上年底累计完成情况，201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年度计划安排情况，年中新增调整情况，1-9月实际完成情况，预计全年完成情况，权益落实情况；（3）分析与措施：完成情况与计划安排的差异分析，阐述主要原因及下一步工作安排。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（四）固定资产购置、小型建筑及改造和维修完成情况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1．固定资产购置、小型建筑及改造和维修总体完成情况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按固定资产购置、小型建筑及改造和维修两类分别就相关情况进行叙述。主要内容：（1）计划完成情况：201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年度计划安排情况，年中新增调整情况，1-9月实际完成情况，预计全年完成情况；（2）分析与措施：完成情况与计划安排的差异分析，阐述主要原因及下一步工作安排。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2．限额以上项目完成情况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按单个项目进行叙述。主要内容：（1）项目基本情况；（2）计划完成情况：201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年度计划安排情况，年中新增调整情况，1-9月实际完成情况，预计全年完成情况；（3）分析与措施：完成情况与计划安排的差异分析，阐述主要原因及下一步工作安排。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00" w:firstLineChars="200"/>
        <w:rPr>
          <w:rFonts w:hint="eastAsia" w:ascii="楷体_GB2312" w:hAnsi="楷体" w:eastAsia="楷体_GB2312" w:cs="Times New Roman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Times New Roman"/>
          <w:sz w:val="30"/>
          <w:szCs w:val="30"/>
          <w:lang w:val="en-US" w:eastAsia="zh-CN"/>
        </w:rPr>
        <w:t>其它资本性支出完成情况</w:t>
      </w:r>
    </w:p>
    <w:p>
      <w:pPr>
        <w:numPr>
          <w:numId w:val="0"/>
        </w:numPr>
        <w:adjustRightInd w:val="0"/>
        <w:snapToGrid w:val="0"/>
        <w:spacing w:line="560" w:lineRule="exact"/>
        <w:ind w:firstLine="600" w:firstLineChars="200"/>
        <w:rPr>
          <w:rFonts w:hint="default" w:ascii="楷体_GB2312" w:hAnsi="楷体" w:eastAsia="楷体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分项说明征地搬迁、资源价款、产能置换指标购置完成情况：（1）项目进展情况；（2）计划完成情况：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201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年度计划安排情况，年中新增调整情况，1-9月实际完成情况，预计全年完成情况；（3）分析与措施：完成情况与计划安排的差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0"/>
          <w:szCs w:val="30"/>
        </w:rPr>
        <w:t>异分析，阐述主要原因及下一步工作安排。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二、20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sz w:val="30"/>
          <w:szCs w:val="30"/>
        </w:rPr>
        <w:t>年度资本支出计划安排情况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（一）计划编制原则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（二）计划安排总体情况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基本建设项目、股权投资、固定资产购置、小型建筑及改造和维修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其它资本性支出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的2019年度计划总体安排情况。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（三）基本建设项目计划安排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1．新建、改扩建项目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按照竣工、续建、新开工和前期分项目编制20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年度投资计划。主要内容：（1）项目基本情况：项目总投资、开工时间、预计完成时间、内部审批情况、外部手续办理情况、已完成投资情况及形象进度、当前存在的问题；（2）20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年计划安排情况：拟安排投资、形象进度、总体工期安排、资金来源等。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其中：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竣工项目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须详细说明竣工项目总体情况，具体验收时间节点计划安排，如联合试运转时间、各专项验收完成时间节点、竣工结算完成时间、竣工决算及审计完成时间、整体竣工验收时间节点等；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续建项目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要说明计划工作量、工程量、重要里程碑事件完成时间及工程节点进度的保证措施等；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新开工项目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要重点说明计划工作量、工程量、总体进度计划目标安排及开工准备、建设许可手续办理情况等；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前期项目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要重点说明前期工作进展情况、已完成投资情况、下一年度拟安排前期工作内容及投资安排。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下一年计划工作量要分矿建工程费、土建工程费、安装工程费、设备及工器具购置费、其他费、建设期利息等；其他费需列出明细，包括土地使用费、建设单位管理费、勘察设计费、联合试运转费、生产准备费及其他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2．技术改造项目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总投资大于1000万元的技术改造项目，要按续建项目和新开工分项目编制20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年度投资计划。主要内容：（1）项目基本情况：项目总投资、开工时间、预计完成时间、内部审批情况、外部手续办理情况、已完成投资情况及形象进度、当前存在的问题；（2）20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计划安排情况：拟安排投资、形象进度、总体工期安排、资金来源等。其中：续建项目要说明计划工作量、工程量、重要里程碑事件完成时间及工程节点进度的保证措施等；新开工项目要重点说明计划工作量、工程量、总体进度计划目标安排及开工准备、建设许可手续办理情况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总投资小于1000万元的技术改造项目按照实施单位打包编制20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年度投资计划，并附打包明细和相关说明材料。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（四）股权投资计划安排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分项目编制20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投资计划。主要内容：（1）项目基本情况：项目内部审批情况、合同或出资人协议签署情况、合同或协议规定的我方出资总额、所占股比，其他各方股东名称及所占股比，已完成投资情况及权益落实情况、当前存在的问题；（2）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年计划安排情况：拟安排投资、投资支付条件、资金来源情况。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（五）固定资产购置、小型建筑及改造和维修计划安排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分项编制20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年度投资计划，说明编制依据及资金来源。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限额以上固定资产购置、小型建筑及改造和维修要分项说明相关情况，主要内容：（1）项目基本情况；（2）20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年计划安排情况：拟安排投资、拟开展工作内容、资金来源。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default" w:ascii="楷体_GB2312" w:hAnsi="楷体" w:eastAsia="楷体_GB2312" w:cs="Times New Roman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Times New Roman"/>
          <w:sz w:val="30"/>
          <w:szCs w:val="30"/>
          <w:lang w:eastAsia="zh-CN"/>
        </w:rPr>
        <w:t>（</w:t>
      </w:r>
      <w:r>
        <w:rPr>
          <w:rFonts w:hint="eastAsia" w:ascii="楷体_GB2312" w:hAnsi="楷体" w:eastAsia="楷体_GB2312" w:cs="Times New Roman"/>
          <w:sz w:val="30"/>
          <w:szCs w:val="30"/>
          <w:lang w:val="en-US" w:eastAsia="zh-CN"/>
        </w:rPr>
        <w:t>六</w:t>
      </w:r>
      <w:r>
        <w:rPr>
          <w:rFonts w:hint="eastAsia" w:ascii="楷体_GB2312" w:hAnsi="楷体" w:eastAsia="楷体_GB2312" w:cs="Times New Roman"/>
          <w:sz w:val="30"/>
          <w:szCs w:val="30"/>
          <w:lang w:eastAsia="zh-CN"/>
        </w:rPr>
        <w:t>）</w:t>
      </w:r>
      <w:r>
        <w:rPr>
          <w:rFonts w:hint="eastAsia" w:ascii="楷体_GB2312" w:hAnsi="楷体" w:eastAsia="楷体_GB2312" w:cs="Times New Roman"/>
          <w:sz w:val="30"/>
          <w:szCs w:val="30"/>
          <w:lang w:val="en-US" w:eastAsia="zh-CN"/>
        </w:rPr>
        <w:t>其它资本性支出计划安排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按照征地搬迁、资源价款、产能指标购置等分项编制2020年投资计划，说明编制依据及资金来源。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8BF99"/>
    <w:multiLevelType w:val="singleLevel"/>
    <w:tmpl w:val="9B38BF9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5D"/>
    <w:rsid w:val="007E1B84"/>
    <w:rsid w:val="00C254CE"/>
    <w:rsid w:val="00D2275D"/>
    <w:rsid w:val="018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353</Words>
  <Characters>2016</Characters>
  <Lines>16</Lines>
  <Paragraphs>4</Paragraphs>
  <TotalTime>0</TotalTime>
  <ScaleCrop>false</ScaleCrop>
  <LinksUpToDate>false</LinksUpToDate>
  <CharactersWithSpaces>2365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2018-09-04T08:47:00Z</dcterms:created>
  <dc:creator>Windows 用户</dc:creator>
  <cp:lastModifiedBy>sunshinewyq</cp:lastModifiedBy>
  <dcterms:modified xsi:type="dcterms:W3CDTF">2019-09-06T08:25:55Z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